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ascii="Times New Roman" w:hAnsi="Times New Roman" w:eastAsia="小标宋" w:cs="Times New Roman"/>
          <w:bCs/>
          <w:color w:val="000000" w:themeColor="text1"/>
          <w:sz w:val="36"/>
          <w:szCs w:val="36"/>
          <w:highlight w:val="none"/>
          <w14:textFill>
            <w14:solidFill>
              <w14:schemeClr w14:val="tx1"/>
            </w14:solidFill>
          </w14:textFill>
        </w:rPr>
      </w:pPr>
      <w:bookmarkStart w:id="0" w:name="_Toc2659"/>
      <w:bookmarkStart w:id="1" w:name="_Toc8211"/>
      <w:bookmarkStart w:id="2" w:name="_Toc26708"/>
      <w:bookmarkStart w:id="3" w:name="_Toc12471"/>
      <w:r>
        <w:rPr>
          <w:rFonts w:hint="default" w:ascii="Times New Roman" w:hAnsi="Times New Roman" w:eastAsia="小标宋" w:cs="Times New Roman"/>
          <w:bCs/>
          <w:color w:val="000000" w:themeColor="text1"/>
          <w:sz w:val="36"/>
          <w:szCs w:val="36"/>
          <w:highlight w:val="none"/>
          <w14:textFill>
            <w14:solidFill>
              <w14:schemeClr w14:val="tx1"/>
            </w14:solidFill>
          </w14:textFill>
        </w:rPr>
        <w:t>西安科技大学</w:t>
      </w:r>
      <w:r>
        <w:rPr>
          <w:rFonts w:hint="default" w:ascii="Times New Roman" w:hAnsi="Times New Roman" w:eastAsia="小标宋" w:cs="Times New Roman"/>
          <w:bCs/>
          <w:color w:val="000000" w:themeColor="text1"/>
          <w:sz w:val="36"/>
          <w:szCs w:val="36"/>
          <w:highlight w:val="none"/>
          <w14:textFill>
            <w14:solidFill>
              <w14:schemeClr w14:val="tx1"/>
            </w14:solidFill>
          </w14:textFill>
        </w:rPr>
        <w:br w:type="textWrapping"/>
      </w:r>
      <w:bookmarkStart w:id="20" w:name="_GoBack"/>
      <w:r>
        <w:rPr>
          <w:rFonts w:hint="default" w:ascii="Times New Roman" w:hAnsi="Times New Roman" w:eastAsia="小标宋" w:cs="Times New Roman"/>
          <w:bCs/>
          <w:color w:val="000000" w:themeColor="text1"/>
          <w:sz w:val="36"/>
          <w:szCs w:val="36"/>
          <w:highlight w:val="none"/>
          <w14:textFill>
            <w14:solidFill>
              <w14:schemeClr w14:val="tx1"/>
            </w14:solidFill>
          </w14:textFill>
        </w:rPr>
        <w:t>地下水科学与工程专业</w:t>
      </w:r>
      <w:bookmarkEnd w:id="20"/>
      <w:r>
        <w:rPr>
          <w:rFonts w:hint="default" w:ascii="Times New Roman" w:hAnsi="Times New Roman" w:eastAsia="小标宋" w:cs="Times New Roman"/>
          <w:bCs/>
          <w:color w:val="000000" w:themeColor="text1"/>
          <w:sz w:val="36"/>
          <w:szCs w:val="36"/>
          <w:highlight w:val="none"/>
          <w14:textFill>
            <w14:solidFill>
              <w14:schemeClr w14:val="tx1"/>
            </w14:solidFill>
          </w14:textFill>
        </w:rPr>
        <w:t>人才培养方案</w:t>
      </w:r>
      <w:bookmarkEnd w:id="0"/>
      <w:bookmarkEnd w:id="1"/>
      <w:bookmarkEnd w:id="2"/>
      <w:bookmarkEnd w:id="3"/>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下水科学与工程专业前身为1957年创建于西安交通大学地质系的“矿产地质勘探”专业。1958年建校时改为“煤田地质与勘探”专业，2018年新设立地下水科学与工程专业。1979年开始招收硕士研究生，1984年获批“煤田、油气地质勘探”硕士学位授予权，2009年获批设立地质资源与地质工程博士后科研流动站，2011年获批地质资源与地质工程以及学科博士、硕士学位授权点。60年的发展积累了深厚的办学基础，形成了鲜明的煤田水文地质专业特色。</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依托地质资源与地质工程一级博、硕士点学科、陕西省优势学科及陕西省煤炭绿色开发地质保障重点实验室而发展。专业拥有1个陕西省“三秦学者创新团队（创全国一流）”，1个陕西省实验教学示范中心，下设26个实验与实训室；同时建成了骊山、翠华山及韩城等20个野外实习基地。室内实验、实训室及野外实习基地为地下水科学与工程专业学生实验、实习及课内外科技创新活动开展提供了良好平台。</w:t>
      </w:r>
    </w:p>
    <w:p>
      <w:pPr>
        <w:pStyle w:val="3"/>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bookmarkStart w:id="4" w:name="_Toc19453"/>
      <w:r>
        <w:rPr>
          <w:rFonts w:hint="default"/>
          <w:color w:val="000000" w:themeColor="text1"/>
          <w14:textFill>
            <w14:solidFill>
              <w14:schemeClr w14:val="tx1"/>
            </w14:solidFill>
          </w14:textFill>
        </w:rPr>
        <w:t>一、培养目标</w:t>
      </w:r>
      <w:bookmarkEnd w:id="4"/>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本专业培养适应国家社会经济发展的需要，具备良好综合素养、扎实的基础理论知识，系统掌握地下水科学与工程专业基本原理、基础知识及专业技能与研究方法，具有高尚的职业道德、社会责任感和较强的人际交往及合作能力，具有踏实肯干、积极创新精神，能够在资源、水利、城建、环保、矿山、农林国土、交通等相关行业从事地下水勘察与评价、地下水污染修复与治理、地下水模拟与计算、矿山水害预防与治理等工作的应用型高级工程技术人才。</w:t>
      </w:r>
    </w:p>
    <w:p>
      <w:pPr>
        <w:pStyle w:val="3"/>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bookmarkStart w:id="5" w:name="_Toc11817"/>
      <w:r>
        <w:rPr>
          <w:rFonts w:hint="default"/>
          <w:color w:val="000000" w:themeColor="text1"/>
          <w14:textFill>
            <w14:solidFill>
              <w14:schemeClr w14:val="tx1"/>
            </w14:solidFill>
          </w14:textFill>
        </w:rPr>
        <w:t>二、培养要求（毕业要求）</w:t>
      </w:r>
      <w:bookmarkEnd w:id="5"/>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本专业学生通过数学与自然科学类、工程基础类、专业基础类、专业类课程的学习和相关实践环节训练，毕业生应获得以下几个方面的知识和能力： </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spacing w:val="-6"/>
          <w14:textFill>
            <w14:solidFill>
              <w14:schemeClr w14:val="tx1"/>
            </w14:solidFill>
          </w14:textFill>
        </w:rPr>
      </w:pPr>
      <w:r>
        <w:rPr>
          <w:rFonts w:hint="default"/>
          <w:color w:val="000000" w:themeColor="text1"/>
          <w:spacing w:val="-6"/>
          <w:lang w:val="en-US" w:eastAsia="zh-CN"/>
          <w14:textFill>
            <w14:solidFill>
              <w14:schemeClr w14:val="tx1"/>
            </w14:solidFill>
          </w14:textFill>
        </w:rPr>
        <w:t>1.</w:t>
      </w:r>
      <w:r>
        <w:rPr>
          <w:rFonts w:hint="default"/>
          <w:color w:val="000000" w:themeColor="text1"/>
          <w:spacing w:val="-6"/>
          <w14:textFill>
            <w14:solidFill>
              <w14:schemeClr w14:val="tx1"/>
            </w14:solidFill>
          </w14:textFill>
        </w:rPr>
        <w:t>工程知识：能够将数学、自然科学、工程基础和专业知识用于解决复杂地下水科学与工程问题；</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指标点1-1：能够将高等数学、线性代数、概率论与数理统计等数学知识用于到解决复杂地下水科学与工程问题。</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指标点1-2：能够将大学物理、普通化学、环境保护概论等自然科学知识用于解决复杂地下水科学与工程问题。</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指标点1-3：能够将力学等工程基础知识用于解决复杂地下水科学与工程问题。</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指标点1-4：能够将普通地质学、矿物岩石学、构造地质学、古生物地层学等专业知识用于解决复杂地下水科学与工程问题。</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2.</w:t>
      </w:r>
      <w:r>
        <w:rPr>
          <w:rFonts w:hint="default"/>
          <w:color w:val="000000" w:themeColor="text1"/>
          <w14:textFill>
            <w14:solidFill>
              <w14:schemeClr w14:val="tx1"/>
            </w14:solidFill>
          </w14:textFill>
        </w:rPr>
        <w:t>问题分析：能够应用数学、自然科学和工程科学的基本原理，识别、表达、并通过文献研究分析复杂地下水科学与工程问题，以获得有效结论。</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指标点2-1：具备对复杂地下水科学与工程问题进行识别、判断和有效分解的能力。</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指标点2-2：具备对分解后的复杂地下水科学与工程问题进行表达与建模的能力。</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指标点2-3：具备依据专业知识，并借助文献辅助对复杂地下水科学与工程问题进行识别、分析、表达与求解的能力，以获得有效结论。</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3.</w:t>
      </w:r>
      <w:r>
        <w:rPr>
          <w:rFonts w:hint="default"/>
          <w:color w:val="000000" w:themeColor="text1"/>
          <w14:textFill>
            <w14:solidFill>
              <w14:schemeClr w14:val="tx1"/>
            </w14:solidFill>
          </w14:textFill>
        </w:rPr>
        <w:t>设计/开发解决方案：能够设计解决复杂地下水科学与工程问题的方案，满足特定工程需求，并能够在设计环节中体现创新意识，考虑社会、健康、安全、法律、文化及环境因素；</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指标点3-1：能够根据工程需求，设计解决复杂地下水科学与工程问题的方案。</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指标点3-2：能够在社会、健康、安全、法律、文化及环境因素等约束条件下，通过技术经济评价进行方案比选。</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指标点3-3：能够对选定方案进行评价和优化，并体现创新意识。</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4.</w:t>
      </w:r>
      <w:r>
        <w:rPr>
          <w:rFonts w:hint="default"/>
          <w:color w:val="000000" w:themeColor="text1"/>
          <w14:textFill>
            <w14:solidFill>
              <w14:schemeClr w14:val="tx1"/>
            </w14:solidFill>
          </w14:textFill>
        </w:rPr>
        <w:t>研究：能够基于地下水科学原理与方法对复杂地下水科学与工程问题进行研究，包括设计实验、分析与解释数据，并通过信息综合得到合理有效的结论；</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指标点4-1：能够基于地下水科学原理与方法，对复杂地下水科学与工程问题进行实验方案设计。</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指标点4-2：能够采用试验、监测与检测等手段，获取地质模型或地质过程的特征（属性）数据。</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指标点4-3：能够对获取的特征（属性）数据，进行统计、计算、分析与解释，并通过信息综合得到合理有效的结论。</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5.</w:t>
      </w:r>
      <w:r>
        <w:rPr>
          <w:rFonts w:hint="default"/>
          <w:color w:val="000000" w:themeColor="text1"/>
          <w14:textFill>
            <w14:solidFill>
              <w14:schemeClr w14:val="tx1"/>
            </w14:solidFill>
          </w14:textFill>
        </w:rPr>
        <w:t>使用工具：能够针对复杂工程问题，开发、选择与使用恰当的技术、资源、现代工程工具和信息技术工具，包括对复杂工程问题的预测与模拟，并能够理解其局限性；</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指标点5-1：能够理解现代仪器、制图工具和专业模拟软件的基本原理，掌握现代工程工具、信息检索工具和模拟软件的使用方法，并理解其局限性。</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指标点5-2：能够开发、选择与使用恰当的技术、资源、现代工程工具和信息技术工具。</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指标点5-3：能够针对特定复杂地下水科学与工程问题，进行模拟和预测。</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6.</w:t>
      </w:r>
      <w:r>
        <w:rPr>
          <w:rFonts w:hint="default"/>
          <w:color w:val="000000" w:themeColor="text1"/>
          <w14:textFill>
            <w14:solidFill>
              <w14:schemeClr w14:val="tx1"/>
            </w14:solidFill>
          </w14:textFill>
        </w:rPr>
        <w:t>工程与社会：能够基于工程相关背景知识进行合理分析，评价专业工程实践和复杂工程问题解决方案对社会、健康、安全、法律以及文化的影响，并理解应承担的责任；</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指标点6-1：能够熟悉地下水科学与工程专业领域相关的技术标准、规范规程、产业政策和法律法规，了解工程管理体系。</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指标点6-2：具备良好的质量、环境、健康、安全、责任和服务意识，并理解应承担的责任。</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指标点6-3：能够识别、分析和评价地下水科学与工程项目实施对社会、健康、安全、法律以及文化的影响。</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7.</w:t>
      </w:r>
      <w:r>
        <w:rPr>
          <w:rFonts w:hint="default"/>
          <w:color w:val="000000" w:themeColor="text1"/>
          <w14:textFill>
            <w14:solidFill>
              <w14:schemeClr w14:val="tx1"/>
            </w14:solidFill>
          </w14:textFill>
        </w:rPr>
        <w:t>环境和可持续发展：能够理解和评价针对复杂地下水科学与工程问题的工程实践对环境、社会可持续发展的影响；</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指标点7-1：能够理解环境保护和社会可持续发展的内涵和意义。</w:t>
      </w:r>
    </w:p>
    <w:p>
      <w:pPr>
        <w:pStyle w:val="12"/>
        <w:keepNext w:val="0"/>
        <w:keepLines w:val="0"/>
        <w:pageBreakBefore w:val="0"/>
        <w:widowControl w:val="0"/>
        <w:kinsoku/>
        <w:wordWrap/>
        <w:overflowPunct/>
        <w:topLinePunct w:val="0"/>
        <w:autoSpaceDE/>
        <w:autoSpaceDN/>
        <w:bidi w:val="0"/>
        <w:adjustRightInd/>
        <w:snapToGrid/>
        <w:spacing w:line="380" w:lineRule="exact"/>
        <w:textAlignment w:val="baseline"/>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指标点7-2：能够知晓环境保护的相关法律法规。</w:t>
      </w:r>
    </w:p>
    <w:p>
      <w:pPr>
        <w:pStyle w:val="12"/>
        <w:keepNext w:val="0"/>
        <w:keepLines w:val="0"/>
        <w:pageBreakBefore w:val="0"/>
        <w:widowControl w:val="0"/>
        <w:kinsoku/>
        <w:wordWrap/>
        <w:overflowPunct/>
        <w:topLinePunct w:val="0"/>
        <w:autoSpaceDE/>
        <w:autoSpaceDN/>
        <w:bidi w:val="0"/>
        <w:adjustRightInd/>
        <w:snapToGrid/>
        <w:spacing w:line="380" w:lineRule="exact"/>
        <w:textAlignment w:val="baseline"/>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w:t>
      </w:r>
      <w:r>
        <w:rPr>
          <w:rFonts w:hint="default"/>
          <w:color w:val="000000" w:themeColor="text1"/>
          <w:spacing w:val="-6"/>
          <w14:textFill>
            <w14:solidFill>
              <w14:schemeClr w14:val="tx1"/>
            </w14:solidFill>
          </w14:textFill>
        </w:rPr>
        <w:t>标点7-3：能够评价针对复杂地下水科学与工程问题的工程实践对环境、社会可持续发展的影响。</w:t>
      </w:r>
    </w:p>
    <w:p>
      <w:pPr>
        <w:pStyle w:val="12"/>
        <w:keepNext w:val="0"/>
        <w:keepLines w:val="0"/>
        <w:pageBreakBefore w:val="0"/>
        <w:widowControl w:val="0"/>
        <w:kinsoku/>
        <w:wordWrap/>
        <w:overflowPunct/>
        <w:topLinePunct w:val="0"/>
        <w:autoSpaceDE/>
        <w:autoSpaceDN/>
        <w:bidi w:val="0"/>
        <w:adjustRightInd/>
        <w:snapToGrid/>
        <w:spacing w:line="380" w:lineRule="exact"/>
        <w:textAlignment w:val="baseline"/>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8.</w:t>
      </w:r>
      <w:r>
        <w:rPr>
          <w:rFonts w:hint="default"/>
          <w:color w:val="000000" w:themeColor="text1"/>
          <w14:textFill>
            <w14:solidFill>
              <w14:schemeClr w14:val="tx1"/>
            </w14:solidFill>
          </w14:textFill>
        </w:rPr>
        <w:t>职业规范：具有人文社会科学素养、社会责任感，能够在工程实践中理解并遵守工程职业道德和规范，履行责任；</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指标点8-1：能够掌握与地下水科学与工程实践相关的人文、历史、环境、法律、安全、伦理等知识，具有人文科学素养。</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指标点8-2：能够理解客观公正、诚信守则、实事求是的工程职业道德，并能在工程实践中自觉遵守。</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指标点8-3：能够理解工程师对公众的安全、健康和福祉，以及环境保护的社会责任，能够在工程实践中自觉履行责任。</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9.</w:t>
      </w:r>
      <w:r>
        <w:rPr>
          <w:rFonts w:hint="default"/>
          <w:color w:val="000000" w:themeColor="text1"/>
          <w14:textFill>
            <w14:solidFill>
              <w14:schemeClr w14:val="tx1"/>
            </w14:solidFill>
          </w14:textFill>
        </w:rPr>
        <w:t>个人和团队：能够在多学科背景下的团队中承担个体、团队成员以及负责人的角色；</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指标点9-1：能够在多学科背景下的团队中承担个体的角色。</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指标点9-2：能够在多学科背景下的团队中协同完成团队分配的工作。</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指标点9-3：能够在多学科背景下的团队中倾听其他团队成员的意见，组织团队成员开展工作。</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10.</w:t>
      </w:r>
      <w:r>
        <w:rPr>
          <w:rFonts w:hint="default"/>
          <w:color w:val="000000" w:themeColor="text1"/>
          <w14:textFill>
            <w14:solidFill>
              <w14:schemeClr w14:val="tx1"/>
            </w14:solidFill>
          </w14:textFill>
        </w:rPr>
        <w:t>沟通：能够就复杂地下水科学与工程问题与业界同行及社会公众进行有效沟通和交流，包括撰写报告和设计文稿、陈述发言、清晰表达或回应指令。并具备一定的国际视野，能够在跨文化背景下进行沟通和交流；</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指标点10-1：能够通过口头、文稿、图表等方式，准确陈述和表达自己的观点，与业界同行和社会公众交流。</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指标点10-2：能够在跨文化背景下与业界同行及社会公众进行沟通和交流。</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spacing w:val="-6"/>
          <w14:textFill>
            <w14:solidFill>
              <w14:schemeClr w14:val="tx1"/>
            </w14:solidFill>
          </w14:textFill>
        </w:rPr>
      </w:pPr>
      <w:r>
        <w:rPr>
          <w:rFonts w:hint="default"/>
          <w:color w:val="000000" w:themeColor="text1"/>
          <w:spacing w:val="-6"/>
          <w14:textFill>
            <w14:solidFill>
              <w14:schemeClr w14:val="tx1"/>
            </w14:solidFill>
          </w14:textFill>
        </w:rPr>
        <w:t>指标点10-3：能够通过阅读和交流，了解专业领域的发展趋势、研究热点，具有一定的国际视野。</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11.</w:t>
      </w:r>
      <w:r>
        <w:rPr>
          <w:rFonts w:hint="default"/>
          <w:color w:val="000000" w:themeColor="text1"/>
          <w14:textFill>
            <w14:solidFill>
              <w14:schemeClr w14:val="tx1"/>
            </w14:solidFill>
          </w14:textFill>
        </w:rPr>
        <w:t>项目管理：理解并掌握工程管理原理与经济决策方法，并能在多学科环境中应用；</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指标点11-1：能够理解工程管理与经济决策的原理。</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指标点11-2：能够掌握地下水科学与工程项目中涉及的工程管理与经济决策方法。</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指标点11-3：能够将工程管理原理、技术经济方法应用于地下水科学与工程项目的勘察、设计、施工、监理等过程。</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12.</w:t>
      </w:r>
      <w:r>
        <w:rPr>
          <w:rFonts w:hint="default"/>
          <w:color w:val="000000" w:themeColor="text1"/>
          <w14:textFill>
            <w14:solidFill>
              <w14:schemeClr w14:val="tx1"/>
            </w14:solidFill>
          </w14:textFill>
        </w:rPr>
        <w:t>终身学习：具有自主学习和终身学习的意识，有不断学习和适应发展的能力。</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指标点12-1：具有自主学习和终身学习的意识。</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指标点12-2：具有不断学习和适应社会发展的能力。</w:t>
      </w:r>
    </w:p>
    <w:p>
      <w:pPr>
        <w:pStyle w:val="3"/>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bookmarkStart w:id="6" w:name="_Toc26700"/>
      <w:r>
        <w:rPr>
          <w:rFonts w:hint="default"/>
          <w:color w:val="000000" w:themeColor="text1"/>
          <w14:textFill>
            <w14:solidFill>
              <w14:schemeClr w14:val="tx1"/>
            </w14:solidFill>
          </w14:textFill>
        </w:rPr>
        <w:t>三、毕业条件</w:t>
      </w:r>
      <w:bookmarkEnd w:id="6"/>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完成总学分179，其中理论教学和集中实践教学1</w:t>
      </w:r>
      <w:r>
        <w:rPr>
          <w:rFonts w:hint="default"/>
          <w:color w:val="000000" w:themeColor="text1"/>
          <w:lang w:val="en-US" w:eastAsia="zh-CN"/>
          <w14:textFill>
            <w14:solidFill>
              <w14:schemeClr w14:val="tx1"/>
            </w14:solidFill>
          </w14:textFill>
        </w:rPr>
        <w:t>6</w:t>
      </w:r>
      <w:r>
        <w:rPr>
          <w:rFonts w:hint="default"/>
          <w:color w:val="000000" w:themeColor="text1"/>
          <w14:textFill>
            <w14:solidFill>
              <w14:schemeClr w14:val="tx1"/>
            </w14:solidFill>
          </w14:textFill>
        </w:rPr>
        <w:t>9学分，第二课堂10学分（详见教学体系结构学分分布），并且达到《国家学生体质健康标准》合格要求。</w:t>
      </w:r>
    </w:p>
    <w:p>
      <w:pPr>
        <w:pStyle w:val="3"/>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bookmarkStart w:id="7" w:name="_Toc16985"/>
      <w:r>
        <w:rPr>
          <w:rFonts w:hint="default"/>
          <w:color w:val="000000" w:themeColor="text1"/>
          <w14:textFill>
            <w14:solidFill>
              <w14:schemeClr w14:val="tx1"/>
            </w14:solidFill>
          </w14:textFill>
        </w:rPr>
        <w:t>四、学士学位授予条件</w:t>
      </w:r>
      <w:bookmarkEnd w:id="7"/>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政治思想表现良好，符合毕业条件，平均学分绩点须达到学校规定标准。</w:t>
      </w:r>
    </w:p>
    <w:p>
      <w:pPr>
        <w:pStyle w:val="3"/>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bookmarkStart w:id="8" w:name="_Toc29379"/>
      <w:r>
        <w:rPr>
          <w:rFonts w:hint="default"/>
          <w:color w:val="000000" w:themeColor="text1"/>
          <w14:textFill>
            <w14:solidFill>
              <w14:schemeClr w14:val="tx1"/>
            </w14:solidFill>
          </w14:textFill>
        </w:rPr>
        <w:t>五、学制与学位</w:t>
      </w:r>
      <w:bookmarkEnd w:id="8"/>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学制四年，授予工学学士学位。</w:t>
      </w:r>
    </w:p>
    <w:p>
      <w:pPr>
        <w:pStyle w:val="3"/>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bookmarkStart w:id="9" w:name="_Toc24069"/>
      <w:r>
        <w:rPr>
          <w:rFonts w:hint="default"/>
          <w:color w:val="000000" w:themeColor="text1"/>
          <w14:textFill>
            <w14:solidFill>
              <w14:schemeClr w14:val="tx1"/>
            </w14:solidFill>
          </w14:textFill>
        </w:rPr>
        <w:t>六、主干学科</w:t>
      </w:r>
      <w:bookmarkEnd w:id="9"/>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主干学科：地质资源与地质工程</w:t>
      </w:r>
    </w:p>
    <w:p>
      <w:pPr>
        <w:pStyle w:val="3"/>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bookmarkStart w:id="10" w:name="_Toc15920"/>
      <w:r>
        <w:rPr>
          <w:rFonts w:hint="default"/>
          <w:color w:val="000000" w:themeColor="text1"/>
          <w14:textFill>
            <w14:solidFill>
              <w14:schemeClr w14:val="tx1"/>
            </w14:solidFill>
          </w14:textFill>
        </w:rPr>
        <w:t>七、核心课程</w:t>
      </w:r>
      <w:bookmarkEnd w:id="10"/>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矿物岩石学、</w:t>
      </w:r>
      <w:r>
        <w:rPr>
          <w:rFonts w:hint="default"/>
          <w:color w:val="000000" w:themeColor="text1"/>
          <w:lang w:val="en-US" w:eastAsia="zh-CN"/>
          <w14:textFill>
            <w14:solidFill>
              <w14:schemeClr w14:val="tx1"/>
            </w14:solidFill>
          </w14:textFill>
        </w:rPr>
        <w:t>普通</w:t>
      </w:r>
      <w:r>
        <w:rPr>
          <w:rFonts w:hint="default"/>
          <w:color w:val="000000" w:themeColor="text1"/>
          <w14:textFill>
            <w14:solidFill>
              <w14:schemeClr w14:val="tx1"/>
            </w14:solidFill>
          </w14:textFill>
        </w:rPr>
        <w:t>地质学、水文地质学基础、构造地质学、地下水动力学、水文地球化学、地下水数值模拟、地下水污染控制与修复、矿井水害防治。</w:t>
      </w:r>
    </w:p>
    <w:p>
      <w:pPr>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br w:type="page"/>
      </w:r>
    </w:p>
    <w:p>
      <w:pPr>
        <w:pStyle w:val="3"/>
        <w:bidi w:val="0"/>
        <w:rPr>
          <w:rFonts w:hint="default"/>
          <w:color w:val="000000" w:themeColor="text1"/>
          <w14:textFill>
            <w14:solidFill>
              <w14:schemeClr w14:val="tx1"/>
            </w14:solidFill>
          </w14:textFill>
        </w:rPr>
      </w:pPr>
      <w:bookmarkStart w:id="11" w:name="_Toc12680"/>
      <w:r>
        <w:rPr>
          <w:rFonts w:hint="default"/>
          <w:color w:val="000000" w:themeColor="text1"/>
          <w14:textFill>
            <w14:solidFill>
              <w14:schemeClr w14:val="tx1"/>
            </w14:solidFill>
          </w14:textFill>
        </w:rPr>
        <w:t>八、教学体系结构</w:t>
      </w:r>
      <w:bookmarkEnd w:id="11"/>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875"/>
        <w:gridCol w:w="1983"/>
        <w:gridCol w:w="802"/>
        <w:gridCol w:w="691"/>
        <w:gridCol w:w="747"/>
        <w:gridCol w:w="766"/>
        <w:gridCol w:w="100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1576" w:type="dxa"/>
            <w:gridSpan w:val="2"/>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教育</w:t>
            </w:r>
          </w:p>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体系</w:t>
            </w:r>
          </w:p>
        </w:tc>
        <w:tc>
          <w:tcPr>
            <w:tcW w:w="1983" w:type="dxa"/>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知识体系</w:t>
            </w:r>
          </w:p>
        </w:tc>
        <w:tc>
          <w:tcPr>
            <w:tcW w:w="1493" w:type="dxa"/>
            <w:gridSpan w:val="2"/>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必修课程</w:t>
            </w:r>
          </w:p>
        </w:tc>
        <w:tc>
          <w:tcPr>
            <w:tcW w:w="1513" w:type="dxa"/>
            <w:gridSpan w:val="2"/>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选修课程</w:t>
            </w:r>
          </w:p>
        </w:tc>
        <w:tc>
          <w:tcPr>
            <w:tcW w:w="1002" w:type="dxa"/>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总学分</w:t>
            </w:r>
          </w:p>
        </w:tc>
        <w:tc>
          <w:tcPr>
            <w:tcW w:w="1230" w:type="dxa"/>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比例</w:t>
            </w:r>
          </w:p>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1576" w:type="dxa"/>
            <w:gridSpan w:val="2"/>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1983"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802" w:type="dxa"/>
            <w:noWrap w:val="0"/>
            <w:tcMar>
              <w:left w:w="28" w:type="dxa"/>
              <w:right w:w="28"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学时</w:t>
            </w:r>
          </w:p>
        </w:tc>
        <w:tc>
          <w:tcPr>
            <w:tcW w:w="691" w:type="dxa"/>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学分</w:t>
            </w:r>
          </w:p>
        </w:tc>
        <w:tc>
          <w:tcPr>
            <w:tcW w:w="747" w:type="dxa"/>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学时</w:t>
            </w:r>
          </w:p>
        </w:tc>
        <w:tc>
          <w:tcPr>
            <w:tcW w:w="766" w:type="dxa"/>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学分</w:t>
            </w:r>
          </w:p>
        </w:tc>
        <w:tc>
          <w:tcPr>
            <w:tcW w:w="1002"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1230"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701" w:type="dxa"/>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理</w:t>
            </w:r>
          </w:p>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论</w:t>
            </w:r>
          </w:p>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教</w:t>
            </w:r>
          </w:p>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学</w:t>
            </w:r>
          </w:p>
        </w:tc>
        <w:tc>
          <w:tcPr>
            <w:tcW w:w="875" w:type="dxa"/>
            <w:vMerge w:val="restart"/>
            <w:noWrap w:val="0"/>
            <w:tcMar>
              <w:left w:w="57" w:type="dxa"/>
              <w:right w:w="57" w:type="dxa"/>
            </w:tcMar>
            <w:vAlign w:val="center"/>
          </w:tcPr>
          <w:p>
            <w:pPr>
              <w:spacing w:line="24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通识</w:t>
            </w:r>
          </w:p>
          <w:p>
            <w:pPr>
              <w:spacing w:line="240" w:lineRule="exac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教育</w:t>
            </w:r>
          </w:p>
        </w:tc>
        <w:tc>
          <w:tcPr>
            <w:tcW w:w="1983"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人文社会科学</w:t>
            </w:r>
          </w:p>
        </w:tc>
        <w:tc>
          <w:tcPr>
            <w:tcW w:w="802" w:type="dxa"/>
            <w:noWrap w:val="0"/>
            <w:tcMar>
              <w:left w:w="28" w:type="dxa"/>
              <w:right w:w="28"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602</w:t>
            </w:r>
          </w:p>
        </w:tc>
        <w:tc>
          <w:tcPr>
            <w:tcW w:w="691" w:type="dxa"/>
            <w:noWrap w:val="0"/>
            <w:tcMar>
              <w:left w:w="57" w:type="dxa"/>
              <w:right w:w="57"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30.5</w:t>
            </w:r>
          </w:p>
        </w:tc>
        <w:tc>
          <w:tcPr>
            <w:tcW w:w="747" w:type="dxa"/>
            <w:noWrap w:val="0"/>
            <w:tcMar>
              <w:left w:w="57" w:type="dxa"/>
              <w:right w:w="57"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16</w:t>
            </w:r>
          </w:p>
        </w:tc>
        <w:tc>
          <w:tcPr>
            <w:tcW w:w="766" w:type="dxa"/>
            <w:noWrap w:val="0"/>
            <w:tcMar>
              <w:left w:w="57" w:type="dxa"/>
              <w:right w:w="57"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1</w:t>
            </w:r>
          </w:p>
        </w:tc>
        <w:tc>
          <w:tcPr>
            <w:tcW w:w="1002" w:type="dxa"/>
            <w:noWrap w:val="0"/>
            <w:tcMar>
              <w:left w:w="57" w:type="dxa"/>
              <w:right w:w="57"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31.5</w:t>
            </w:r>
          </w:p>
        </w:tc>
        <w:tc>
          <w:tcPr>
            <w:tcW w:w="1230"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18"/>
                <w:szCs w:val="18"/>
                <w:highlight w:val="none"/>
                <w:u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701"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875" w:type="dxa"/>
            <w:vMerge w:val="continue"/>
            <w:noWrap w:val="0"/>
            <w:tcMar>
              <w:left w:w="57" w:type="dxa"/>
              <w:right w:w="57" w:type="dxa"/>
            </w:tcMar>
            <w:vAlign w:val="center"/>
          </w:tcPr>
          <w:p>
            <w:pPr>
              <w:spacing w:line="24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1983"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数学和自然科学</w:t>
            </w:r>
          </w:p>
        </w:tc>
        <w:tc>
          <w:tcPr>
            <w:tcW w:w="802" w:type="dxa"/>
            <w:noWrap w:val="0"/>
            <w:tcMar>
              <w:left w:w="28" w:type="dxa"/>
              <w:right w:w="28"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490</w:t>
            </w:r>
          </w:p>
        </w:tc>
        <w:tc>
          <w:tcPr>
            <w:tcW w:w="691" w:type="dxa"/>
            <w:noWrap w:val="0"/>
            <w:tcMar>
              <w:left w:w="57" w:type="dxa"/>
              <w:right w:w="57"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30.5</w:t>
            </w:r>
          </w:p>
        </w:tc>
        <w:tc>
          <w:tcPr>
            <w:tcW w:w="747" w:type="dxa"/>
            <w:noWrap w:val="0"/>
            <w:tcMar>
              <w:left w:w="57" w:type="dxa"/>
              <w:right w:w="57"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16</w:t>
            </w:r>
          </w:p>
        </w:tc>
        <w:tc>
          <w:tcPr>
            <w:tcW w:w="766" w:type="dxa"/>
            <w:noWrap w:val="0"/>
            <w:tcMar>
              <w:left w:w="57" w:type="dxa"/>
              <w:right w:w="57"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1</w:t>
            </w:r>
          </w:p>
        </w:tc>
        <w:tc>
          <w:tcPr>
            <w:tcW w:w="1002" w:type="dxa"/>
            <w:noWrap w:val="0"/>
            <w:tcMar>
              <w:left w:w="57" w:type="dxa"/>
              <w:right w:w="57"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31.5</w:t>
            </w:r>
          </w:p>
        </w:tc>
        <w:tc>
          <w:tcPr>
            <w:tcW w:w="1230"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18"/>
                <w:szCs w:val="18"/>
                <w:highlight w:val="none"/>
                <w:u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701"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875" w:type="dxa"/>
            <w:vMerge w:val="continue"/>
            <w:noWrap w:val="0"/>
            <w:tcMar>
              <w:left w:w="57" w:type="dxa"/>
              <w:right w:w="57" w:type="dxa"/>
            </w:tcMar>
            <w:vAlign w:val="center"/>
          </w:tcPr>
          <w:p>
            <w:pPr>
              <w:spacing w:line="24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1983"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创新创业课</w:t>
            </w:r>
          </w:p>
        </w:tc>
        <w:tc>
          <w:tcPr>
            <w:tcW w:w="802" w:type="dxa"/>
            <w:noWrap w:val="0"/>
            <w:tcMar>
              <w:left w:w="28" w:type="dxa"/>
              <w:right w:w="28"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0</w:t>
            </w:r>
          </w:p>
        </w:tc>
        <w:tc>
          <w:tcPr>
            <w:tcW w:w="691" w:type="dxa"/>
            <w:noWrap w:val="0"/>
            <w:tcMar>
              <w:left w:w="57" w:type="dxa"/>
              <w:right w:w="57"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0</w:t>
            </w:r>
          </w:p>
        </w:tc>
        <w:tc>
          <w:tcPr>
            <w:tcW w:w="747" w:type="dxa"/>
            <w:noWrap w:val="0"/>
            <w:tcMar>
              <w:left w:w="57" w:type="dxa"/>
              <w:right w:w="57"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96</w:t>
            </w:r>
          </w:p>
        </w:tc>
        <w:tc>
          <w:tcPr>
            <w:tcW w:w="766" w:type="dxa"/>
            <w:noWrap w:val="0"/>
            <w:tcMar>
              <w:left w:w="57" w:type="dxa"/>
              <w:right w:w="57"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6</w:t>
            </w:r>
          </w:p>
        </w:tc>
        <w:tc>
          <w:tcPr>
            <w:tcW w:w="1002" w:type="dxa"/>
            <w:noWrap w:val="0"/>
            <w:tcMar>
              <w:left w:w="57" w:type="dxa"/>
              <w:right w:w="57"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6</w:t>
            </w:r>
          </w:p>
        </w:tc>
        <w:tc>
          <w:tcPr>
            <w:tcW w:w="1230"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18"/>
                <w:szCs w:val="18"/>
                <w:highlight w:val="none"/>
                <w:u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701"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875" w:type="dxa"/>
            <w:vMerge w:val="continue"/>
            <w:noWrap w:val="0"/>
            <w:tcMar>
              <w:left w:w="57" w:type="dxa"/>
              <w:right w:w="57" w:type="dxa"/>
            </w:tcMar>
            <w:vAlign w:val="center"/>
          </w:tcPr>
          <w:p>
            <w:pPr>
              <w:spacing w:line="24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1983"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公共选修课</w:t>
            </w:r>
          </w:p>
        </w:tc>
        <w:tc>
          <w:tcPr>
            <w:tcW w:w="802" w:type="dxa"/>
            <w:noWrap w:val="0"/>
            <w:tcMar>
              <w:left w:w="28" w:type="dxa"/>
              <w:right w:w="28"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32</w:t>
            </w:r>
          </w:p>
        </w:tc>
        <w:tc>
          <w:tcPr>
            <w:tcW w:w="691" w:type="dxa"/>
            <w:noWrap w:val="0"/>
            <w:tcMar>
              <w:left w:w="57" w:type="dxa"/>
              <w:right w:w="57"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2</w:t>
            </w:r>
          </w:p>
        </w:tc>
        <w:tc>
          <w:tcPr>
            <w:tcW w:w="747" w:type="dxa"/>
            <w:noWrap w:val="0"/>
            <w:tcMar>
              <w:left w:w="57" w:type="dxa"/>
              <w:right w:w="57"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0</w:t>
            </w:r>
          </w:p>
        </w:tc>
        <w:tc>
          <w:tcPr>
            <w:tcW w:w="766" w:type="dxa"/>
            <w:noWrap w:val="0"/>
            <w:tcMar>
              <w:left w:w="57" w:type="dxa"/>
              <w:right w:w="57"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0</w:t>
            </w:r>
          </w:p>
        </w:tc>
        <w:tc>
          <w:tcPr>
            <w:tcW w:w="1002" w:type="dxa"/>
            <w:noWrap w:val="0"/>
            <w:tcMar>
              <w:left w:w="57" w:type="dxa"/>
              <w:right w:w="57"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2</w:t>
            </w:r>
          </w:p>
        </w:tc>
        <w:tc>
          <w:tcPr>
            <w:tcW w:w="1230"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18"/>
                <w:szCs w:val="18"/>
                <w:highlight w:val="none"/>
                <w:u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701"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875" w:type="dxa"/>
            <w:vMerge w:val="continue"/>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p>
        </w:tc>
        <w:tc>
          <w:tcPr>
            <w:tcW w:w="1983" w:type="dxa"/>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小计</w:t>
            </w:r>
          </w:p>
        </w:tc>
        <w:tc>
          <w:tcPr>
            <w:tcW w:w="802" w:type="dxa"/>
            <w:noWrap w:val="0"/>
            <w:tcMar>
              <w:left w:w="28" w:type="dxa"/>
              <w:right w:w="28" w:type="dxa"/>
            </w:tcMar>
            <w:vAlign w:val="center"/>
          </w:tcPr>
          <w:p>
            <w:pPr>
              <w:widowControl/>
              <w:jc w:val="center"/>
              <w:rPr>
                <w:rFonts w:hint="default" w:ascii="Times New Roman" w:hAnsi="Times New Roman" w:eastAsia="等线" w:cs="Times New Roman"/>
                <w:b/>
                <w:bCs/>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b/>
                <w:bCs/>
                <w:color w:val="000000" w:themeColor="text1"/>
                <w:kern w:val="0"/>
                <w:sz w:val="18"/>
                <w:szCs w:val="18"/>
                <w:highlight w:val="none"/>
                <w14:textFill>
                  <w14:solidFill>
                    <w14:schemeClr w14:val="tx1"/>
                  </w14:solidFill>
                </w14:textFill>
              </w:rPr>
              <w:t>1124</w:t>
            </w:r>
          </w:p>
        </w:tc>
        <w:tc>
          <w:tcPr>
            <w:tcW w:w="691" w:type="dxa"/>
            <w:noWrap w:val="0"/>
            <w:tcMar>
              <w:left w:w="57" w:type="dxa"/>
              <w:right w:w="57" w:type="dxa"/>
            </w:tcMar>
            <w:vAlign w:val="center"/>
          </w:tcPr>
          <w:p>
            <w:pPr>
              <w:widowControl/>
              <w:jc w:val="center"/>
              <w:rPr>
                <w:rFonts w:hint="default" w:ascii="Times New Roman" w:hAnsi="Times New Roman" w:eastAsia="等线" w:cs="Times New Roman"/>
                <w:b/>
                <w:bCs/>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b/>
                <w:bCs/>
                <w:color w:val="000000" w:themeColor="text1"/>
                <w:kern w:val="0"/>
                <w:sz w:val="18"/>
                <w:szCs w:val="18"/>
                <w:highlight w:val="none"/>
                <w14:textFill>
                  <w14:solidFill>
                    <w14:schemeClr w14:val="tx1"/>
                  </w14:solidFill>
                </w14:textFill>
              </w:rPr>
              <w:t>63</w:t>
            </w:r>
          </w:p>
        </w:tc>
        <w:tc>
          <w:tcPr>
            <w:tcW w:w="747" w:type="dxa"/>
            <w:noWrap w:val="0"/>
            <w:tcMar>
              <w:left w:w="57" w:type="dxa"/>
              <w:right w:w="57" w:type="dxa"/>
            </w:tcMar>
            <w:vAlign w:val="center"/>
          </w:tcPr>
          <w:p>
            <w:pPr>
              <w:widowControl/>
              <w:jc w:val="center"/>
              <w:rPr>
                <w:rFonts w:hint="default" w:ascii="Times New Roman" w:hAnsi="Times New Roman" w:eastAsia="等线" w:cs="Times New Roman"/>
                <w:b/>
                <w:bCs/>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b/>
                <w:bCs/>
                <w:color w:val="000000" w:themeColor="text1"/>
                <w:kern w:val="0"/>
                <w:sz w:val="18"/>
                <w:szCs w:val="18"/>
                <w:highlight w:val="none"/>
                <w14:textFill>
                  <w14:solidFill>
                    <w14:schemeClr w14:val="tx1"/>
                  </w14:solidFill>
                </w14:textFill>
              </w:rPr>
              <w:t>128</w:t>
            </w:r>
          </w:p>
        </w:tc>
        <w:tc>
          <w:tcPr>
            <w:tcW w:w="766" w:type="dxa"/>
            <w:noWrap w:val="0"/>
            <w:tcMar>
              <w:left w:w="57" w:type="dxa"/>
              <w:right w:w="57" w:type="dxa"/>
            </w:tcMar>
            <w:vAlign w:val="center"/>
          </w:tcPr>
          <w:p>
            <w:pPr>
              <w:widowControl/>
              <w:jc w:val="center"/>
              <w:rPr>
                <w:rFonts w:hint="default" w:ascii="Times New Roman" w:hAnsi="Times New Roman" w:eastAsia="等线" w:cs="Times New Roman"/>
                <w:b/>
                <w:bCs/>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b/>
                <w:bCs/>
                <w:color w:val="000000" w:themeColor="text1"/>
                <w:kern w:val="0"/>
                <w:sz w:val="18"/>
                <w:szCs w:val="18"/>
                <w:highlight w:val="none"/>
                <w14:textFill>
                  <w14:solidFill>
                    <w14:schemeClr w14:val="tx1"/>
                  </w14:solidFill>
                </w14:textFill>
              </w:rPr>
              <w:t>8</w:t>
            </w:r>
          </w:p>
        </w:tc>
        <w:tc>
          <w:tcPr>
            <w:tcW w:w="1002" w:type="dxa"/>
            <w:noWrap w:val="0"/>
            <w:tcMar>
              <w:left w:w="57" w:type="dxa"/>
              <w:right w:w="57" w:type="dxa"/>
            </w:tcMar>
            <w:vAlign w:val="center"/>
          </w:tcPr>
          <w:p>
            <w:pPr>
              <w:widowControl/>
              <w:jc w:val="center"/>
              <w:rPr>
                <w:rFonts w:hint="default" w:ascii="Times New Roman" w:hAnsi="Times New Roman" w:eastAsia="等线" w:cs="Times New Roman"/>
                <w:b/>
                <w:bCs/>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b/>
                <w:bCs/>
                <w:color w:val="000000" w:themeColor="text1"/>
                <w:kern w:val="0"/>
                <w:sz w:val="18"/>
                <w:szCs w:val="18"/>
                <w:highlight w:val="none"/>
                <w14:textFill>
                  <w14:solidFill>
                    <w14:schemeClr w14:val="tx1"/>
                  </w14:solidFill>
                </w14:textFill>
              </w:rPr>
              <w:t>71</w:t>
            </w:r>
          </w:p>
        </w:tc>
        <w:tc>
          <w:tcPr>
            <w:tcW w:w="1230" w:type="dxa"/>
            <w:noWrap w:val="0"/>
            <w:tcMar>
              <w:left w:w="57" w:type="dxa"/>
              <w:right w:w="57" w:type="dxa"/>
            </w:tcMar>
            <w:vAlign w:val="center"/>
          </w:tcPr>
          <w:p>
            <w:pPr>
              <w:widowControl/>
              <w:jc w:val="center"/>
              <w:rPr>
                <w:rFonts w:hint="default" w:ascii="Times New Roman" w:hAnsi="Times New Roman" w:eastAsia="等线" w:cs="Times New Roman"/>
                <w:b/>
                <w:bCs/>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b/>
                <w:bCs/>
                <w:color w:val="000000" w:themeColor="text1"/>
                <w:kern w:val="0"/>
                <w:sz w:val="18"/>
                <w:szCs w:val="18"/>
                <w:highlight w:val="none"/>
                <w:lang w:val="en-US" w:eastAsia="zh-CN"/>
                <w14:textFill>
                  <w14:solidFill>
                    <w14:schemeClr w14:val="tx1"/>
                  </w14:solidFill>
                </w14:textFill>
              </w:rPr>
              <w:t xml:space="preserve">42.0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701"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875" w:type="dxa"/>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专业</w:t>
            </w:r>
          </w:p>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教育</w:t>
            </w:r>
          </w:p>
        </w:tc>
        <w:tc>
          <w:tcPr>
            <w:tcW w:w="1983"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学科基础课</w:t>
            </w:r>
          </w:p>
        </w:tc>
        <w:tc>
          <w:tcPr>
            <w:tcW w:w="802" w:type="dxa"/>
            <w:noWrap w:val="0"/>
            <w:tcMar>
              <w:left w:w="28" w:type="dxa"/>
              <w:right w:w="28"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514</w:t>
            </w:r>
          </w:p>
        </w:tc>
        <w:tc>
          <w:tcPr>
            <w:tcW w:w="691" w:type="dxa"/>
            <w:noWrap w:val="0"/>
            <w:tcMar>
              <w:left w:w="57" w:type="dxa"/>
              <w:right w:w="57"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28</w:t>
            </w:r>
          </w:p>
        </w:tc>
        <w:tc>
          <w:tcPr>
            <w:tcW w:w="747" w:type="dxa"/>
            <w:noWrap w:val="0"/>
            <w:tcMar>
              <w:left w:w="57" w:type="dxa"/>
              <w:right w:w="57"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96</w:t>
            </w:r>
          </w:p>
        </w:tc>
        <w:tc>
          <w:tcPr>
            <w:tcW w:w="766" w:type="dxa"/>
            <w:noWrap w:val="0"/>
            <w:tcMar>
              <w:left w:w="57" w:type="dxa"/>
              <w:right w:w="57"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6</w:t>
            </w:r>
          </w:p>
        </w:tc>
        <w:tc>
          <w:tcPr>
            <w:tcW w:w="1002" w:type="dxa"/>
            <w:noWrap w:val="0"/>
            <w:tcMar>
              <w:left w:w="57" w:type="dxa"/>
              <w:right w:w="57"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34</w:t>
            </w:r>
          </w:p>
        </w:tc>
        <w:tc>
          <w:tcPr>
            <w:tcW w:w="1230"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18"/>
                <w:szCs w:val="18"/>
                <w:highlight w:val="none"/>
                <w:u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701"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875" w:type="dxa"/>
            <w:vMerge w:val="continue"/>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p>
        </w:tc>
        <w:tc>
          <w:tcPr>
            <w:tcW w:w="1983"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pacing w:val="-6"/>
                <w:sz w:val="18"/>
                <w:szCs w:val="18"/>
                <w:highlight w:val="none"/>
                <w14:textFill>
                  <w14:solidFill>
                    <w14:schemeClr w14:val="tx1"/>
                  </w14:solidFill>
                </w14:textFill>
              </w:rPr>
              <w:t>专业课（含专业方向课）</w:t>
            </w:r>
          </w:p>
        </w:tc>
        <w:tc>
          <w:tcPr>
            <w:tcW w:w="802" w:type="dxa"/>
            <w:noWrap w:val="0"/>
            <w:tcMar>
              <w:left w:w="28" w:type="dxa"/>
              <w:right w:w="28"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lang w:val="en-US" w:eastAsia="zh-CN"/>
                <w14:textFill>
                  <w14:solidFill>
                    <w14:schemeClr w14:val="tx1"/>
                  </w14:solidFill>
                </w14:textFill>
              </w:rPr>
              <w:t>300</w:t>
            </w:r>
          </w:p>
        </w:tc>
        <w:tc>
          <w:tcPr>
            <w:tcW w:w="691" w:type="dxa"/>
            <w:noWrap w:val="0"/>
            <w:tcMar>
              <w:left w:w="57" w:type="dxa"/>
              <w:right w:w="57"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18</w:t>
            </w:r>
          </w:p>
        </w:tc>
        <w:tc>
          <w:tcPr>
            <w:tcW w:w="747" w:type="dxa"/>
            <w:noWrap w:val="0"/>
            <w:tcMar>
              <w:left w:w="57" w:type="dxa"/>
              <w:right w:w="57"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80</w:t>
            </w:r>
          </w:p>
        </w:tc>
        <w:tc>
          <w:tcPr>
            <w:tcW w:w="766" w:type="dxa"/>
            <w:noWrap w:val="0"/>
            <w:tcMar>
              <w:left w:w="57" w:type="dxa"/>
              <w:right w:w="57"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5</w:t>
            </w:r>
          </w:p>
        </w:tc>
        <w:tc>
          <w:tcPr>
            <w:tcW w:w="1002" w:type="dxa"/>
            <w:noWrap w:val="0"/>
            <w:tcMar>
              <w:left w:w="57" w:type="dxa"/>
              <w:right w:w="57" w:type="dxa"/>
            </w:tcMar>
            <w:vAlign w:val="center"/>
          </w:tcPr>
          <w:p>
            <w:pPr>
              <w:widowControl/>
              <w:jc w:val="center"/>
              <w:rPr>
                <w:rFonts w:hint="default" w:ascii="Times New Roman" w:hAnsi="Times New Roman" w:eastAsia="等线"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kern w:val="0"/>
                <w:sz w:val="18"/>
                <w:szCs w:val="18"/>
                <w:highlight w:val="none"/>
                <w14:textFill>
                  <w14:solidFill>
                    <w14:schemeClr w14:val="tx1"/>
                  </w14:solidFill>
                </w14:textFill>
              </w:rPr>
              <w:t>23</w:t>
            </w:r>
          </w:p>
        </w:tc>
        <w:tc>
          <w:tcPr>
            <w:tcW w:w="1230"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18"/>
                <w:szCs w:val="18"/>
                <w:highlight w:val="none"/>
                <w:u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701"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875" w:type="dxa"/>
            <w:vMerge w:val="continue"/>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p>
        </w:tc>
        <w:tc>
          <w:tcPr>
            <w:tcW w:w="1983" w:type="dxa"/>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小计</w:t>
            </w:r>
          </w:p>
        </w:tc>
        <w:tc>
          <w:tcPr>
            <w:tcW w:w="802" w:type="dxa"/>
            <w:noWrap w:val="0"/>
            <w:tcMar>
              <w:left w:w="28" w:type="dxa"/>
              <w:right w:w="28" w:type="dxa"/>
            </w:tcMar>
            <w:vAlign w:val="center"/>
          </w:tcPr>
          <w:p>
            <w:pPr>
              <w:widowControl/>
              <w:jc w:val="center"/>
              <w:rPr>
                <w:rFonts w:hint="default" w:ascii="Times New Roman" w:hAnsi="Times New Roman" w:eastAsia="等线" w:cs="Times New Roman"/>
                <w:b/>
                <w:bCs/>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b/>
                <w:bCs/>
                <w:color w:val="000000" w:themeColor="text1"/>
                <w:kern w:val="0"/>
                <w:sz w:val="18"/>
                <w:szCs w:val="18"/>
                <w:highlight w:val="none"/>
                <w14:textFill>
                  <w14:solidFill>
                    <w14:schemeClr w14:val="tx1"/>
                  </w14:solidFill>
                </w14:textFill>
              </w:rPr>
              <w:t>8</w:t>
            </w:r>
            <w:r>
              <w:rPr>
                <w:rFonts w:hint="default" w:ascii="Times New Roman" w:hAnsi="Times New Roman" w:eastAsia="等线" w:cs="Times New Roman"/>
                <w:b/>
                <w:bCs/>
                <w:color w:val="000000" w:themeColor="text1"/>
                <w:kern w:val="0"/>
                <w:sz w:val="18"/>
                <w:szCs w:val="18"/>
                <w:highlight w:val="none"/>
                <w:lang w:val="en-US" w:eastAsia="zh-CN"/>
                <w14:textFill>
                  <w14:solidFill>
                    <w14:schemeClr w14:val="tx1"/>
                  </w14:solidFill>
                </w14:textFill>
              </w:rPr>
              <w:t>14</w:t>
            </w:r>
          </w:p>
        </w:tc>
        <w:tc>
          <w:tcPr>
            <w:tcW w:w="691" w:type="dxa"/>
            <w:noWrap w:val="0"/>
            <w:tcMar>
              <w:left w:w="57" w:type="dxa"/>
              <w:right w:w="57" w:type="dxa"/>
            </w:tcMar>
            <w:vAlign w:val="center"/>
          </w:tcPr>
          <w:p>
            <w:pPr>
              <w:widowControl/>
              <w:jc w:val="center"/>
              <w:rPr>
                <w:rFonts w:hint="default" w:ascii="Times New Roman" w:hAnsi="Times New Roman" w:eastAsia="等线" w:cs="Times New Roman"/>
                <w:b/>
                <w:bCs/>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b/>
                <w:bCs/>
                <w:color w:val="000000" w:themeColor="text1"/>
                <w:kern w:val="0"/>
                <w:sz w:val="18"/>
                <w:szCs w:val="18"/>
                <w:highlight w:val="none"/>
                <w14:textFill>
                  <w14:solidFill>
                    <w14:schemeClr w14:val="tx1"/>
                  </w14:solidFill>
                </w14:textFill>
              </w:rPr>
              <w:t>46</w:t>
            </w:r>
          </w:p>
        </w:tc>
        <w:tc>
          <w:tcPr>
            <w:tcW w:w="747" w:type="dxa"/>
            <w:noWrap w:val="0"/>
            <w:tcMar>
              <w:left w:w="57" w:type="dxa"/>
              <w:right w:w="57" w:type="dxa"/>
            </w:tcMar>
            <w:vAlign w:val="center"/>
          </w:tcPr>
          <w:p>
            <w:pPr>
              <w:widowControl/>
              <w:jc w:val="center"/>
              <w:rPr>
                <w:rFonts w:hint="default" w:ascii="Times New Roman" w:hAnsi="Times New Roman" w:eastAsia="等线" w:cs="Times New Roman"/>
                <w:b/>
                <w:bCs/>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b/>
                <w:bCs/>
                <w:color w:val="000000" w:themeColor="text1"/>
                <w:kern w:val="0"/>
                <w:sz w:val="18"/>
                <w:szCs w:val="18"/>
                <w:highlight w:val="none"/>
                <w14:textFill>
                  <w14:solidFill>
                    <w14:schemeClr w14:val="tx1"/>
                  </w14:solidFill>
                </w14:textFill>
              </w:rPr>
              <w:t>176</w:t>
            </w:r>
          </w:p>
        </w:tc>
        <w:tc>
          <w:tcPr>
            <w:tcW w:w="766" w:type="dxa"/>
            <w:noWrap w:val="0"/>
            <w:tcMar>
              <w:left w:w="57" w:type="dxa"/>
              <w:right w:w="57" w:type="dxa"/>
            </w:tcMar>
            <w:vAlign w:val="center"/>
          </w:tcPr>
          <w:p>
            <w:pPr>
              <w:widowControl/>
              <w:jc w:val="center"/>
              <w:rPr>
                <w:rFonts w:hint="default" w:ascii="Times New Roman" w:hAnsi="Times New Roman" w:eastAsia="等线" w:cs="Times New Roman"/>
                <w:b/>
                <w:bCs/>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b/>
                <w:bCs/>
                <w:color w:val="000000" w:themeColor="text1"/>
                <w:kern w:val="0"/>
                <w:sz w:val="18"/>
                <w:szCs w:val="18"/>
                <w:highlight w:val="none"/>
                <w14:textFill>
                  <w14:solidFill>
                    <w14:schemeClr w14:val="tx1"/>
                  </w14:solidFill>
                </w14:textFill>
              </w:rPr>
              <w:t>11</w:t>
            </w:r>
          </w:p>
        </w:tc>
        <w:tc>
          <w:tcPr>
            <w:tcW w:w="1002" w:type="dxa"/>
            <w:noWrap w:val="0"/>
            <w:tcMar>
              <w:left w:w="57" w:type="dxa"/>
              <w:right w:w="57" w:type="dxa"/>
            </w:tcMar>
            <w:vAlign w:val="center"/>
          </w:tcPr>
          <w:p>
            <w:pPr>
              <w:widowControl/>
              <w:jc w:val="center"/>
              <w:rPr>
                <w:rFonts w:hint="default" w:ascii="Times New Roman" w:hAnsi="Times New Roman" w:eastAsia="等线" w:cs="Times New Roman"/>
                <w:b/>
                <w:bCs/>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b/>
                <w:bCs/>
                <w:color w:val="000000" w:themeColor="text1"/>
                <w:kern w:val="0"/>
                <w:sz w:val="18"/>
                <w:szCs w:val="18"/>
                <w:highlight w:val="none"/>
                <w14:textFill>
                  <w14:solidFill>
                    <w14:schemeClr w14:val="tx1"/>
                  </w14:solidFill>
                </w14:textFill>
              </w:rPr>
              <w:t>57</w:t>
            </w:r>
          </w:p>
        </w:tc>
        <w:tc>
          <w:tcPr>
            <w:tcW w:w="1230" w:type="dxa"/>
            <w:noWrap w:val="0"/>
            <w:tcMar>
              <w:left w:w="57" w:type="dxa"/>
              <w:right w:w="57" w:type="dxa"/>
            </w:tcMar>
            <w:vAlign w:val="center"/>
          </w:tcPr>
          <w:p>
            <w:pPr>
              <w:widowControl/>
              <w:jc w:val="center"/>
              <w:rPr>
                <w:rFonts w:hint="default" w:ascii="Times New Roman" w:hAnsi="Times New Roman" w:eastAsia="等线" w:cs="Times New Roman"/>
                <w:b/>
                <w:bCs/>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b/>
                <w:bCs/>
                <w:color w:val="000000" w:themeColor="text1"/>
                <w:kern w:val="0"/>
                <w:sz w:val="18"/>
                <w:szCs w:val="18"/>
                <w:highlight w:val="none"/>
                <w:lang w:val="en-US" w:eastAsia="zh-CN"/>
                <w14:textFill>
                  <w14:solidFill>
                    <w14:schemeClr w14:val="tx1"/>
                  </w14:solidFill>
                </w14:textFill>
              </w:rPr>
              <w:t>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701" w:type="dxa"/>
            <w:vMerge w:val="continue"/>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p>
        </w:tc>
        <w:tc>
          <w:tcPr>
            <w:tcW w:w="2858" w:type="dxa"/>
            <w:gridSpan w:val="2"/>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合计</w:t>
            </w:r>
          </w:p>
        </w:tc>
        <w:tc>
          <w:tcPr>
            <w:tcW w:w="802" w:type="dxa"/>
            <w:noWrap w:val="0"/>
            <w:tcMar>
              <w:left w:w="28" w:type="dxa"/>
              <w:right w:w="28" w:type="dxa"/>
            </w:tcMar>
            <w:vAlign w:val="center"/>
          </w:tcPr>
          <w:p>
            <w:pPr>
              <w:widowControl/>
              <w:jc w:val="center"/>
              <w:rPr>
                <w:rFonts w:hint="default" w:ascii="Times New Roman" w:hAnsi="Times New Roman" w:eastAsia="等线" w:cs="Times New Roman"/>
                <w:b/>
                <w:bCs/>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b/>
                <w:bCs/>
                <w:color w:val="000000" w:themeColor="text1"/>
                <w:kern w:val="0"/>
                <w:sz w:val="18"/>
                <w:szCs w:val="18"/>
                <w:highlight w:val="none"/>
                <w14:textFill>
                  <w14:solidFill>
                    <w14:schemeClr w14:val="tx1"/>
                  </w14:solidFill>
                </w14:textFill>
              </w:rPr>
              <w:t>19</w:t>
            </w:r>
            <w:r>
              <w:rPr>
                <w:rFonts w:hint="default" w:ascii="Times New Roman" w:hAnsi="Times New Roman" w:eastAsia="等线" w:cs="Times New Roman"/>
                <w:b/>
                <w:bCs/>
                <w:color w:val="000000" w:themeColor="text1"/>
                <w:kern w:val="0"/>
                <w:sz w:val="18"/>
                <w:szCs w:val="18"/>
                <w:highlight w:val="none"/>
                <w:lang w:val="en-US" w:eastAsia="zh-CN"/>
                <w14:textFill>
                  <w14:solidFill>
                    <w14:schemeClr w14:val="tx1"/>
                  </w14:solidFill>
                </w14:textFill>
              </w:rPr>
              <w:t>38</w:t>
            </w:r>
          </w:p>
        </w:tc>
        <w:tc>
          <w:tcPr>
            <w:tcW w:w="691" w:type="dxa"/>
            <w:noWrap w:val="0"/>
            <w:tcMar>
              <w:left w:w="57" w:type="dxa"/>
              <w:right w:w="57" w:type="dxa"/>
            </w:tcMar>
            <w:vAlign w:val="center"/>
          </w:tcPr>
          <w:p>
            <w:pPr>
              <w:widowControl/>
              <w:jc w:val="center"/>
              <w:rPr>
                <w:rFonts w:hint="default" w:ascii="Times New Roman" w:hAnsi="Times New Roman" w:eastAsia="等线" w:cs="Times New Roman"/>
                <w:b/>
                <w:bCs/>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b/>
                <w:bCs/>
                <w:color w:val="000000" w:themeColor="text1"/>
                <w:kern w:val="0"/>
                <w:sz w:val="18"/>
                <w:szCs w:val="18"/>
                <w:highlight w:val="none"/>
                <w14:textFill>
                  <w14:solidFill>
                    <w14:schemeClr w14:val="tx1"/>
                  </w14:solidFill>
                </w14:textFill>
              </w:rPr>
              <w:t>109</w:t>
            </w:r>
          </w:p>
        </w:tc>
        <w:tc>
          <w:tcPr>
            <w:tcW w:w="747" w:type="dxa"/>
            <w:noWrap w:val="0"/>
            <w:tcMar>
              <w:left w:w="57" w:type="dxa"/>
              <w:right w:w="57" w:type="dxa"/>
            </w:tcMar>
            <w:vAlign w:val="center"/>
          </w:tcPr>
          <w:p>
            <w:pPr>
              <w:widowControl/>
              <w:jc w:val="center"/>
              <w:rPr>
                <w:rFonts w:hint="default" w:ascii="Times New Roman" w:hAnsi="Times New Roman" w:eastAsia="等线" w:cs="Times New Roman"/>
                <w:b/>
                <w:bCs/>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b/>
                <w:bCs/>
                <w:color w:val="000000" w:themeColor="text1"/>
                <w:kern w:val="0"/>
                <w:sz w:val="18"/>
                <w:szCs w:val="18"/>
                <w:highlight w:val="none"/>
                <w14:textFill>
                  <w14:solidFill>
                    <w14:schemeClr w14:val="tx1"/>
                  </w14:solidFill>
                </w14:textFill>
              </w:rPr>
              <w:t>304</w:t>
            </w:r>
          </w:p>
        </w:tc>
        <w:tc>
          <w:tcPr>
            <w:tcW w:w="766" w:type="dxa"/>
            <w:noWrap w:val="0"/>
            <w:tcMar>
              <w:left w:w="57" w:type="dxa"/>
              <w:right w:w="57" w:type="dxa"/>
            </w:tcMar>
            <w:vAlign w:val="center"/>
          </w:tcPr>
          <w:p>
            <w:pPr>
              <w:widowControl/>
              <w:jc w:val="center"/>
              <w:rPr>
                <w:rFonts w:hint="default" w:ascii="Times New Roman" w:hAnsi="Times New Roman" w:eastAsia="等线" w:cs="Times New Roman"/>
                <w:b/>
                <w:bCs/>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b/>
                <w:bCs/>
                <w:color w:val="000000" w:themeColor="text1"/>
                <w:kern w:val="0"/>
                <w:sz w:val="18"/>
                <w:szCs w:val="18"/>
                <w:highlight w:val="none"/>
                <w14:textFill>
                  <w14:solidFill>
                    <w14:schemeClr w14:val="tx1"/>
                  </w14:solidFill>
                </w14:textFill>
              </w:rPr>
              <w:t>19</w:t>
            </w:r>
          </w:p>
        </w:tc>
        <w:tc>
          <w:tcPr>
            <w:tcW w:w="1002" w:type="dxa"/>
            <w:noWrap w:val="0"/>
            <w:tcMar>
              <w:left w:w="57" w:type="dxa"/>
              <w:right w:w="57" w:type="dxa"/>
            </w:tcMar>
            <w:vAlign w:val="center"/>
          </w:tcPr>
          <w:p>
            <w:pPr>
              <w:widowControl/>
              <w:jc w:val="center"/>
              <w:rPr>
                <w:rFonts w:hint="default" w:ascii="Times New Roman" w:hAnsi="Times New Roman" w:eastAsia="等线" w:cs="Times New Roman"/>
                <w:b/>
                <w:bCs/>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b/>
                <w:bCs/>
                <w:color w:val="000000" w:themeColor="text1"/>
                <w:kern w:val="0"/>
                <w:sz w:val="18"/>
                <w:szCs w:val="18"/>
                <w:highlight w:val="none"/>
                <w14:textFill>
                  <w14:solidFill>
                    <w14:schemeClr w14:val="tx1"/>
                  </w14:solidFill>
                </w14:textFill>
              </w:rPr>
              <w:t>128</w:t>
            </w:r>
          </w:p>
        </w:tc>
        <w:tc>
          <w:tcPr>
            <w:tcW w:w="1230" w:type="dxa"/>
            <w:noWrap w:val="0"/>
            <w:tcMar>
              <w:left w:w="57" w:type="dxa"/>
              <w:right w:w="57" w:type="dxa"/>
            </w:tcMar>
            <w:vAlign w:val="center"/>
          </w:tcPr>
          <w:p>
            <w:pPr>
              <w:widowControl/>
              <w:jc w:val="center"/>
              <w:rPr>
                <w:rFonts w:hint="default" w:ascii="Times New Roman" w:hAnsi="Times New Roman" w:eastAsia="等线" w:cs="Times New Roman"/>
                <w:b/>
                <w:bCs/>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等线" w:cs="Times New Roman"/>
                <w:b/>
                <w:bCs/>
                <w:color w:val="000000" w:themeColor="text1"/>
                <w:kern w:val="0"/>
                <w:sz w:val="18"/>
                <w:szCs w:val="18"/>
                <w:highlight w:val="none"/>
                <w:lang w:val="en-US" w:eastAsia="zh-CN"/>
                <w14:textFill>
                  <w14:solidFill>
                    <w14:schemeClr w14:val="tx1"/>
                  </w14:solidFill>
                </w14:textFill>
              </w:rPr>
              <w:t>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jc w:val="center"/>
        </w:trPr>
        <w:tc>
          <w:tcPr>
            <w:tcW w:w="701" w:type="dxa"/>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实践</w:t>
            </w:r>
          </w:p>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教学</w:t>
            </w:r>
          </w:p>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（含劳动教</w:t>
            </w:r>
          </w:p>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 xml:space="preserve">育） </w:t>
            </w:r>
          </w:p>
        </w:tc>
        <w:tc>
          <w:tcPr>
            <w:tcW w:w="2858" w:type="dxa"/>
            <w:gridSpan w:val="2"/>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入学教育、军训、公益劳动、思政课实践、实验、实习、实训、设计、毕业教育等及其包含的劳动教育</w:t>
            </w:r>
          </w:p>
        </w:tc>
        <w:tc>
          <w:tcPr>
            <w:tcW w:w="802" w:type="dxa"/>
            <w:noWrap w:val="0"/>
            <w:tcMar>
              <w:left w:w="28" w:type="dxa"/>
              <w:right w:w="28" w:type="dxa"/>
            </w:tcMar>
            <w:vAlign w:val="center"/>
          </w:tcPr>
          <w:p>
            <w:pPr>
              <w:widowControl/>
              <w:jc w:val="center"/>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eastAsia="等线" w:cs="Times New Roman"/>
                <w:b w:val="0"/>
                <w:bCs w:val="0"/>
                <w:color w:val="000000" w:themeColor="text1"/>
                <w:kern w:val="0"/>
                <w:sz w:val="18"/>
                <w:szCs w:val="18"/>
                <w:highlight w:val="none"/>
                <w14:textFill>
                  <w14:solidFill>
                    <w14:schemeClr w14:val="tx1"/>
                  </w14:solidFill>
                </w14:textFill>
              </w:rPr>
              <w:t>33周+1</w:t>
            </w:r>
            <w:r>
              <w:rPr>
                <w:rFonts w:hint="default" w:ascii="Times New Roman" w:hAnsi="Times New Roman" w:eastAsia="等线" w:cs="Times New Roman"/>
                <w:b w:val="0"/>
                <w:bCs w:val="0"/>
                <w:color w:val="000000" w:themeColor="text1"/>
                <w:kern w:val="0"/>
                <w:sz w:val="18"/>
                <w:szCs w:val="18"/>
                <w:highlight w:val="none"/>
                <w:lang w:val="en-US" w:eastAsia="zh-CN"/>
                <w14:textFill>
                  <w14:solidFill>
                    <w14:schemeClr w14:val="tx1"/>
                  </w14:solidFill>
                </w14:textFill>
              </w:rPr>
              <w:t>50</w:t>
            </w:r>
          </w:p>
        </w:tc>
        <w:tc>
          <w:tcPr>
            <w:tcW w:w="691" w:type="dxa"/>
            <w:noWrap w:val="0"/>
            <w:tcMar>
              <w:left w:w="57" w:type="dxa"/>
              <w:right w:w="57" w:type="dxa"/>
            </w:tcMar>
            <w:vAlign w:val="center"/>
          </w:tcPr>
          <w:p>
            <w:pPr>
              <w:widowControl/>
              <w:jc w:val="center"/>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eastAsia="等线" w:cs="Times New Roman"/>
                <w:b w:val="0"/>
                <w:bCs w:val="0"/>
                <w:color w:val="000000" w:themeColor="text1"/>
                <w:kern w:val="0"/>
                <w:sz w:val="18"/>
                <w:szCs w:val="18"/>
                <w:highlight w:val="none"/>
                <w14:textFill>
                  <w14:solidFill>
                    <w14:schemeClr w14:val="tx1"/>
                  </w14:solidFill>
                </w14:textFill>
              </w:rPr>
              <w:t>39</w:t>
            </w:r>
          </w:p>
        </w:tc>
        <w:tc>
          <w:tcPr>
            <w:tcW w:w="747" w:type="dxa"/>
            <w:noWrap w:val="0"/>
            <w:tcMar>
              <w:left w:w="57" w:type="dxa"/>
              <w:right w:w="57" w:type="dxa"/>
            </w:tcMar>
            <w:vAlign w:val="center"/>
          </w:tcPr>
          <w:p>
            <w:pPr>
              <w:widowControl/>
              <w:jc w:val="center"/>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eastAsia="等线" w:cs="Times New Roman"/>
                <w:b w:val="0"/>
                <w:bCs w:val="0"/>
                <w:color w:val="000000" w:themeColor="text1"/>
                <w:kern w:val="0"/>
                <w:sz w:val="18"/>
                <w:szCs w:val="18"/>
                <w:highlight w:val="none"/>
                <w14:textFill>
                  <w14:solidFill>
                    <w14:schemeClr w14:val="tx1"/>
                  </w14:solidFill>
                </w14:textFill>
              </w:rPr>
              <w:t>2</w:t>
            </w:r>
            <w:r>
              <w:rPr>
                <w:rFonts w:hint="default" w:ascii="Times New Roman" w:hAnsi="Times New Roman" w:cs="Times New Roman"/>
                <w:b w:val="0"/>
                <w:bCs w:val="0"/>
                <w:color w:val="000000" w:themeColor="text1"/>
                <w:kern w:val="0"/>
                <w:sz w:val="18"/>
                <w:szCs w:val="18"/>
                <w:highlight w:val="none"/>
                <w14:textFill>
                  <w14:solidFill>
                    <w14:schemeClr w14:val="tx1"/>
                  </w14:solidFill>
                </w14:textFill>
              </w:rPr>
              <w:t>周</w:t>
            </w:r>
          </w:p>
        </w:tc>
        <w:tc>
          <w:tcPr>
            <w:tcW w:w="766" w:type="dxa"/>
            <w:noWrap w:val="0"/>
            <w:tcMar>
              <w:left w:w="57" w:type="dxa"/>
              <w:right w:w="57" w:type="dxa"/>
            </w:tcMar>
            <w:vAlign w:val="center"/>
          </w:tcPr>
          <w:p>
            <w:pPr>
              <w:widowControl/>
              <w:jc w:val="center"/>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eastAsia="等线" w:cs="Times New Roman"/>
                <w:b w:val="0"/>
                <w:bCs w:val="0"/>
                <w:color w:val="000000" w:themeColor="text1"/>
                <w:kern w:val="0"/>
                <w:sz w:val="18"/>
                <w:szCs w:val="18"/>
                <w:highlight w:val="none"/>
                <w14:textFill>
                  <w14:solidFill>
                    <w14:schemeClr w14:val="tx1"/>
                  </w14:solidFill>
                </w14:textFill>
              </w:rPr>
              <w:t>2</w:t>
            </w:r>
          </w:p>
        </w:tc>
        <w:tc>
          <w:tcPr>
            <w:tcW w:w="1002" w:type="dxa"/>
            <w:noWrap w:val="0"/>
            <w:tcMar>
              <w:left w:w="57" w:type="dxa"/>
              <w:right w:w="57" w:type="dxa"/>
            </w:tcMar>
            <w:vAlign w:val="center"/>
          </w:tcPr>
          <w:p>
            <w:pPr>
              <w:widowControl/>
              <w:jc w:val="center"/>
              <w:rPr>
                <w:rFonts w:hint="default" w:ascii="Times New Roman" w:hAnsi="Times New Roman" w:eastAsia="宋体" w:cs="Times New Roman"/>
                <w:b w:val="0"/>
                <w:bCs w:val="0"/>
                <w:color w:val="000000" w:themeColor="text1"/>
                <w:sz w:val="18"/>
                <w:szCs w:val="18"/>
                <w:highlight w:val="none"/>
                <w:lang w:val="en-US" w:eastAsia="zh-CN"/>
                <w14:textFill>
                  <w14:solidFill>
                    <w14:schemeClr w14:val="tx1"/>
                  </w14:solidFill>
                </w14:textFill>
              </w:rPr>
            </w:pPr>
            <w:r>
              <w:rPr>
                <w:rFonts w:hint="default" w:ascii="Times New Roman" w:hAnsi="Times New Roman" w:eastAsia="等线" w:cs="Times New Roman"/>
                <w:b w:val="0"/>
                <w:bCs w:val="0"/>
                <w:color w:val="000000" w:themeColor="text1"/>
                <w:kern w:val="0"/>
                <w:sz w:val="18"/>
                <w:szCs w:val="18"/>
                <w:highlight w:val="none"/>
                <w14:textFill>
                  <w14:solidFill>
                    <w14:schemeClr w14:val="tx1"/>
                  </w14:solidFill>
                </w14:textFill>
              </w:rPr>
              <w:t>41</w:t>
            </w:r>
          </w:p>
        </w:tc>
        <w:tc>
          <w:tcPr>
            <w:tcW w:w="1230" w:type="dxa"/>
            <w:noWrap w:val="0"/>
            <w:tcMar>
              <w:left w:w="57" w:type="dxa"/>
              <w:right w:w="57" w:type="dxa"/>
            </w:tcMar>
            <w:vAlign w:val="center"/>
          </w:tcPr>
          <w:p>
            <w:pPr>
              <w:widowControl/>
              <w:jc w:val="center"/>
              <w:rPr>
                <w:rFonts w:hint="default" w:ascii="Times New Roman" w:hAnsi="Times New Roman" w:eastAsia="宋体" w:cs="Times New Roman"/>
                <w:b w:val="0"/>
                <w:bCs w:val="0"/>
                <w:color w:val="000000" w:themeColor="text1"/>
                <w:sz w:val="18"/>
                <w:szCs w:val="18"/>
                <w:highlight w:val="none"/>
                <w:lang w:val="en-US" w:eastAsia="zh-CN"/>
                <w14:textFill>
                  <w14:solidFill>
                    <w14:schemeClr w14:val="tx1"/>
                  </w14:solidFill>
                </w14:textFill>
              </w:rPr>
            </w:pPr>
            <w:r>
              <w:rPr>
                <w:rFonts w:hint="default" w:ascii="Times New Roman" w:hAnsi="Times New Roman" w:eastAsia="等线" w:cs="Times New Roman"/>
                <w:b w:val="0"/>
                <w:bCs w:val="0"/>
                <w:color w:val="000000" w:themeColor="text1"/>
                <w:kern w:val="0"/>
                <w:sz w:val="18"/>
                <w:szCs w:val="18"/>
                <w:highlight w:val="none"/>
                <w:lang w:val="en-US" w:eastAsia="zh-CN"/>
                <w14:textFill>
                  <w14:solidFill>
                    <w14:schemeClr w14:val="tx1"/>
                  </w14:solidFill>
                </w14:textFill>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6565" w:type="dxa"/>
            <w:gridSpan w:val="7"/>
            <w:noWrap w:val="0"/>
            <w:tcMar>
              <w:left w:w="57" w:type="dxa"/>
              <w:right w:w="57" w:type="dxa"/>
            </w:tcMar>
            <w:vAlign w:val="center"/>
          </w:tcPr>
          <w:p>
            <w:pPr>
              <w:spacing w:line="240" w:lineRule="atLeast"/>
              <w:jc w:val="center"/>
              <w:rPr>
                <w:rFonts w:hint="default" w:ascii="Times New Roman" w:hAnsi="Times New Roman" w:eastAsia="宋体" w:cs="Times New Roman"/>
                <w:b w:val="0"/>
                <w:bCs w:val="0"/>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b/>
                <w:bCs/>
                <w:color w:val="000000" w:themeColor="text1"/>
                <w:sz w:val="18"/>
                <w:szCs w:val="18"/>
                <w:highlight w:val="none"/>
                <w:lang w:val="en-US" w:eastAsia="zh-CN"/>
                <w14:textFill>
                  <w14:solidFill>
                    <w14:schemeClr w14:val="tx1"/>
                  </w14:solidFill>
                </w14:textFill>
              </w:rPr>
              <w:t>总计</w:t>
            </w:r>
          </w:p>
        </w:tc>
        <w:tc>
          <w:tcPr>
            <w:tcW w:w="1002" w:type="dxa"/>
            <w:noWrap w:val="0"/>
            <w:tcMar>
              <w:left w:w="57" w:type="dxa"/>
              <w:right w:w="57" w:type="dxa"/>
            </w:tcMar>
            <w:vAlign w:val="center"/>
          </w:tcPr>
          <w:p>
            <w:pPr>
              <w:spacing w:line="240" w:lineRule="atLeast"/>
              <w:jc w:val="center"/>
              <w:rPr>
                <w:rFonts w:hint="default" w:ascii="Times New Roman" w:hAnsi="Times New Roman" w:eastAsia="宋体" w:cs="Times New Roman"/>
                <w:b/>
                <w:bCs/>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b/>
                <w:bCs/>
                <w:color w:val="000000" w:themeColor="text1"/>
                <w:sz w:val="18"/>
                <w:szCs w:val="18"/>
                <w:highlight w:val="none"/>
                <w:lang w:val="en-US" w:eastAsia="zh-CN"/>
                <w14:textFill>
                  <w14:solidFill>
                    <w14:schemeClr w14:val="tx1"/>
                  </w14:solidFill>
                </w14:textFill>
              </w:rPr>
              <w:t>169</w:t>
            </w:r>
          </w:p>
        </w:tc>
        <w:tc>
          <w:tcPr>
            <w:tcW w:w="1230" w:type="dxa"/>
            <w:noWrap w:val="0"/>
            <w:tcMar>
              <w:left w:w="57" w:type="dxa"/>
              <w:right w:w="57" w:type="dxa"/>
            </w:tcMar>
            <w:vAlign w:val="center"/>
          </w:tcPr>
          <w:p>
            <w:pPr>
              <w:spacing w:line="240" w:lineRule="atLeast"/>
              <w:jc w:val="center"/>
              <w:rPr>
                <w:rFonts w:hint="default" w:ascii="Times New Roman" w:hAnsi="Times New Roman" w:eastAsia="宋体" w:cs="Times New Roman"/>
                <w:b/>
                <w:bCs/>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b/>
                <w:bCs/>
                <w:color w:val="000000" w:themeColor="text1"/>
                <w:sz w:val="18"/>
                <w:szCs w:val="18"/>
                <w:highlight w:val="none"/>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jc w:val="center"/>
        </w:trPr>
        <w:tc>
          <w:tcPr>
            <w:tcW w:w="701" w:type="dxa"/>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第二</w:t>
            </w:r>
          </w:p>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课堂</w:t>
            </w:r>
          </w:p>
        </w:tc>
        <w:tc>
          <w:tcPr>
            <w:tcW w:w="2858" w:type="dxa"/>
            <w:gridSpan w:val="2"/>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思想道德教育、专业能力拓展、体美教育、劳动教育</w:t>
            </w:r>
          </w:p>
        </w:tc>
        <w:tc>
          <w:tcPr>
            <w:tcW w:w="5238" w:type="dxa"/>
            <w:gridSpan w:val="6"/>
            <w:noWrap w:val="0"/>
            <w:vAlign w:val="center"/>
          </w:tcPr>
          <w:p>
            <w:pPr>
              <w:spacing w:line="240" w:lineRule="atLeast"/>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10学分</w:t>
            </w:r>
          </w:p>
        </w:tc>
      </w:tr>
    </w:tbl>
    <w:p>
      <w:pPr>
        <w:rPr>
          <w:rFonts w:hint="default" w:ascii="Times New Roman" w:hAnsi="Times New Roman" w:cs="Times New Roman"/>
          <w:color w:val="000000" w:themeColor="text1"/>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p>
      <w:pP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br w:type="page"/>
      </w:r>
    </w:p>
    <w:p>
      <w:pPr>
        <w:pStyle w:val="3"/>
        <w:bidi w:val="0"/>
        <w:rPr>
          <w:rFonts w:hint="default"/>
          <w:color w:val="000000" w:themeColor="text1"/>
          <w14:textFill>
            <w14:solidFill>
              <w14:schemeClr w14:val="tx1"/>
            </w14:solidFill>
          </w14:textFill>
        </w:rPr>
      </w:pPr>
      <w:bookmarkStart w:id="12" w:name="_Toc28393"/>
      <w:r>
        <w:rPr>
          <w:rFonts w:hint="default"/>
          <w:color w:val="000000" w:themeColor="text1"/>
          <w14:textFill>
            <w14:solidFill>
              <w14:schemeClr w14:val="tx1"/>
            </w14:solidFill>
          </w14:textFill>
        </w:rPr>
        <w:t>九、课程设置表</w:t>
      </w:r>
      <w:bookmarkEnd w:id="12"/>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专业代码：081404T       </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专业名称：地下水科学与工程</w:t>
      </w:r>
    </w:p>
    <w:tbl>
      <w:tblPr>
        <w:tblStyle w:val="18"/>
        <w:tblW w:w="9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
        <w:gridCol w:w="290"/>
        <w:gridCol w:w="220"/>
        <w:gridCol w:w="21"/>
        <w:gridCol w:w="217"/>
        <w:gridCol w:w="773"/>
        <w:gridCol w:w="1516"/>
        <w:gridCol w:w="464"/>
        <w:gridCol w:w="317"/>
        <w:gridCol w:w="324"/>
        <w:gridCol w:w="292"/>
        <w:gridCol w:w="277"/>
        <w:gridCol w:w="304"/>
        <w:gridCol w:w="321"/>
        <w:gridCol w:w="338"/>
        <w:gridCol w:w="338"/>
        <w:gridCol w:w="338"/>
        <w:gridCol w:w="338"/>
        <w:gridCol w:w="338"/>
        <w:gridCol w:w="338"/>
        <w:gridCol w:w="338"/>
        <w:gridCol w:w="281"/>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27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教学体系</w:t>
            </w:r>
          </w:p>
        </w:tc>
        <w:tc>
          <w:tcPr>
            <w:tcW w:w="29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知识体系</w:t>
            </w:r>
          </w:p>
        </w:tc>
        <w:tc>
          <w:tcPr>
            <w:tcW w:w="458" w:type="dxa"/>
            <w:gridSpan w:val="3"/>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性</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质</w:t>
            </w:r>
          </w:p>
        </w:tc>
        <w:tc>
          <w:tcPr>
            <w:tcW w:w="77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编号</w:t>
            </w:r>
          </w:p>
        </w:tc>
        <w:tc>
          <w:tcPr>
            <w:tcW w:w="151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课程名称</w:t>
            </w:r>
          </w:p>
        </w:tc>
        <w:tc>
          <w:tcPr>
            <w:tcW w:w="464"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分</w:t>
            </w:r>
          </w:p>
        </w:tc>
        <w:tc>
          <w:tcPr>
            <w:tcW w:w="1514" w:type="dxa"/>
            <w:gridSpan w:val="5"/>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学时分配</w:t>
            </w:r>
          </w:p>
        </w:tc>
        <w:tc>
          <w:tcPr>
            <w:tcW w:w="321"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核</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方</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式</w:t>
            </w:r>
          </w:p>
        </w:tc>
        <w:tc>
          <w:tcPr>
            <w:tcW w:w="2647" w:type="dxa"/>
            <w:gridSpan w:val="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按学期分布</w:t>
            </w:r>
          </w:p>
        </w:tc>
        <w:tc>
          <w:tcPr>
            <w:tcW w:w="832"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开课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58"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5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6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总</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时</w:t>
            </w:r>
          </w:p>
        </w:tc>
        <w:tc>
          <w:tcPr>
            <w:tcW w:w="61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理论</w:t>
            </w:r>
          </w:p>
        </w:tc>
        <w:tc>
          <w:tcPr>
            <w:tcW w:w="27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实验/上机</w:t>
            </w:r>
          </w:p>
        </w:tc>
        <w:tc>
          <w:tcPr>
            <w:tcW w:w="304"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其他</w:t>
            </w:r>
          </w:p>
        </w:tc>
        <w:tc>
          <w:tcPr>
            <w:tcW w:w="32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83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58"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5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6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线下</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线上</w:t>
            </w:r>
          </w:p>
        </w:tc>
        <w:tc>
          <w:tcPr>
            <w:tcW w:w="27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17周</w:t>
            </w:r>
          </w:p>
        </w:tc>
        <w:tc>
          <w:tcPr>
            <w:tcW w:w="83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通识教育</w:t>
            </w:r>
          </w:p>
          <w:p>
            <w:pPr>
              <w:pStyle w:val="27"/>
              <w:bidi w:val="0"/>
              <w:rPr>
                <w:rFonts w:hint="default"/>
                <w:color w:val="000000" w:themeColor="text1"/>
                <w14:textFill>
                  <w14:solidFill>
                    <w14:schemeClr w14:val="tx1"/>
                  </w14:solidFill>
                </w14:textFill>
              </w:rPr>
            </w:pPr>
          </w:p>
        </w:tc>
        <w:tc>
          <w:tcPr>
            <w:tcW w:w="29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人文社会科学</w:t>
            </w:r>
          </w:p>
        </w:tc>
        <w:tc>
          <w:tcPr>
            <w:tcW w:w="458" w:type="dxa"/>
            <w:gridSpan w:val="3"/>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7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B2281010</w:t>
            </w:r>
          </w:p>
        </w:tc>
        <w:tc>
          <w:tcPr>
            <w:tcW w:w="15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马克思主义基本原理</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58"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B2282020</w:t>
            </w:r>
          </w:p>
        </w:tc>
        <w:tc>
          <w:tcPr>
            <w:tcW w:w="15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毛泽东思想和中国特色社会主义理论体系概论</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58"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B2282010</w:t>
            </w:r>
          </w:p>
        </w:tc>
        <w:tc>
          <w:tcPr>
            <w:tcW w:w="15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中国近现代史纲要</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58"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B2284010</w:t>
            </w:r>
          </w:p>
        </w:tc>
        <w:tc>
          <w:tcPr>
            <w:tcW w:w="15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思想道德修养与法律基础</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58"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A2231010</w:t>
            </w:r>
          </w:p>
        </w:tc>
        <w:tc>
          <w:tcPr>
            <w:tcW w:w="15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英语阅读</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128</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128</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58"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A2231020</w:t>
            </w:r>
          </w:p>
        </w:tc>
        <w:tc>
          <w:tcPr>
            <w:tcW w:w="15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英语听力</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58"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B2210020</w:t>
            </w:r>
          </w:p>
        </w:tc>
        <w:tc>
          <w:tcPr>
            <w:tcW w:w="15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大学生心理健康教育</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38</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20</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18</w:t>
            </w: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58"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B2141011</w:t>
            </w:r>
          </w:p>
        </w:tc>
        <w:tc>
          <w:tcPr>
            <w:tcW w:w="15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体育</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4.5</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144</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128</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58"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S2210030</w:t>
            </w:r>
          </w:p>
        </w:tc>
        <w:tc>
          <w:tcPr>
            <w:tcW w:w="15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军事理论</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36</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36</w:t>
            </w:r>
            <w:r>
              <w:rPr>
                <w:rFonts w:hint="default"/>
                <w:color w:val="000000" w:themeColor="text1"/>
                <w14:textFill>
                  <w14:solidFill>
                    <w14:schemeClr w14:val="tx1"/>
                  </w14:solidFill>
                </w14:textFill>
              </w:rPr>
              <w:t>　</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2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限选</w:t>
            </w:r>
          </w:p>
        </w:tc>
        <w:tc>
          <w:tcPr>
            <w:tcW w:w="77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B2041190</w:t>
            </w:r>
          </w:p>
        </w:tc>
        <w:tc>
          <w:tcPr>
            <w:tcW w:w="15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工程伦理</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17" w:type="dxa"/>
            <w:vMerge w:val="restart"/>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任选</w:t>
            </w:r>
          </w:p>
        </w:tc>
        <w:tc>
          <w:tcPr>
            <w:tcW w:w="7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B2235011</w:t>
            </w:r>
          </w:p>
        </w:tc>
        <w:tc>
          <w:tcPr>
            <w:tcW w:w="15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大学语文</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B2282092</w:t>
            </w:r>
          </w:p>
        </w:tc>
        <w:tc>
          <w:tcPr>
            <w:tcW w:w="15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当代世界经济与政治</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067" w:type="dxa"/>
            <w:gridSpan w:val="1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以上</w:t>
            </w:r>
            <w:r>
              <w:rPr>
                <w:rFonts w:hint="default"/>
                <w:color w:val="000000" w:themeColor="text1"/>
                <w:lang w:val="en-US" w:eastAsia="zh-CN"/>
                <w14:textFill>
                  <w14:solidFill>
                    <w14:schemeClr w14:val="tx1"/>
                  </w14:solidFill>
                </w14:textFill>
              </w:rPr>
              <w:t>3</w:t>
            </w:r>
            <w:r>
              <w:rPr>
                <w:rFonts w:hint="default"/>
                <w:color w:val="000000" w:themeColor="text1"/>
                <w14:textFill>
                  <w14:solidFill>
                    <w14:schemeClr w14:val="tx1"/>
                  </w14:solidFill>
                </w14:textFill>
              </w:rPr>
              <w:t>门课程至少选修</w:t>
            </w:r>
            <w:r>
              <w:rPr>
                <w:rFonts w:hint="default"/>
                <w:color w:val="000000" w:themeColor="text1"/>
                <w:lang w:val="en-US" w:eastAsia="zh-CN"/>
                <w14:textFill>
                  <w14:solidFill>
                    <w14:schemeClr w14:val="tx1"/>
                  </w14:solidFill>
                </w14:textFill>
              </w:rPr>
              <w:t>1</w:t>
            </w:r>
            <w:r>
              <w:rPr>
                <w:rFonts w:hint="default"/>
                <w:color w:val="000000" w:themeColor="text1"/>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47" w:type="dxa"/>
            <w:gridSpan w:val="5"/>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31.5</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618</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356</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34</w:t>
            </w: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128</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数学和自然科学 </w:t>
            </w:r>
          </w:p>
        </w:tc>
        <w:tc>
          <w:tcPr>
            <w:tcW w:w="458" w:type="dxa"/>
            <w:gridSpan w:val="3"/>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7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A2011013　</w:t>
            </w:r>
          </w:p>
        </w:tc>
        <w:tc>
          <w:tcPr>
            <w:tcW w:w="15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高等数学A </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192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192</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58"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A2013012　</w:t>
            </w:r>
          </w:p>
        </w:tc>
        <w:tc>
          <w:tcPr>
            <w:tcW w:w="15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大学物理A</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112</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58"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A2011042</w:t>
            </w:r>
          </w:p>
        </w:tc>
        <w:tc>
          <w:tcPr>
            <w:tcW w:w="15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概率论与数理统计A</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58"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A2151010</w:t>
            </w:r>
          </w:p>
        </w:tc>
        <w:tc>
          <w:tcPr>
            <w:tcW w:w="15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工科化学</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2.5</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w:t>
            </w: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58"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A2011050</w:t>
            </w:r>
          </w:p>
        </w:tc>
        <w:tc>
          <w:tcPr>
            <w:tcW w:w="15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线性代数</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58"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3" w:type="dxa"/>
            <w:noWrap w:val="0"/>
            <w:tcMar>
              <w:left w:w="28" w:type="dxa"/>
              <w:right w:w="28" w:type="dxa"/>
            </w:tcMar>
            <w:vAlign w:val="bottom"/>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w:t>
            </w:r>
            <w:r>
              <w:rPr>
                <w:rFonts w:hint="default"/>
                <w:color w:val="000000" w:themeColor="text1"/>
                <w:lang w:val="en-US" w:eastAsia="zh-CN"/>
                <w14:textFill>
                  <w14:solidFill>
                    <w14:schemeClr w14:val="tx1"/>
                  </w14:solidFill>
                </w14:textFill>
              </w:rPr>
              <w:t>94110</w:t>
            </w:r>
            <w:r>
              <w:rPr>
                <w:rFonts w:hint="default"/>
                <w:color w:val="000000" w:themeColor="text1"/>
                <w14:textFill>
                  <w14:solidFill>
                    <w14:schemeClr w14:val="tx1"/>
                  </w14:solidFill>
                </w14:textFill>
              </w:rPr>
              <w:t>　</w:t>
            </w:r>
          </w:p>
        </w:tc>
        <w:tc>
          <w:tcPr>
            <w:tcW w:w="15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地质建模程序设计</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238"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限选</w:t>
            </w:r>
          </w:p>
        </w:tc>
        <w:tc>
          <w:tcPr>
            <w:tcW w:w="7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B2031080</w:t>
            </w:r>
          </w:p>
        </w:tc>
        <w:tc>
          <w:tcPr>
            <w:tcW w:w="15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矿业工程概论</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8"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任选</w:t>
            </w:r>
          </w:p>
        </w:tc>
        <w:tc>
          <w:tcPr>
            <w:tcW w:w="7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C2199030</w:t>
            </w:r>
          </w:p>
        </w:tc>
        <w:tc>
          <w:tcPr>
            <w:tcW w:w="15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安全工程概论</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安全学院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8"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067" w:type="dxa"/>
            <w:gridSpan w:val="1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以上</w:t>
            </w:r>
            <w:r>
              <w:rPr>
                <w:rFonts w:hint="default"/>
                <w:color w:val="000000" w:themeColor="text1"/>
                <w:lang w:val="en-US" w:eastAsia="zh-CN"/>
                <w14:textFill>
                  <w14:solidFill>
                    <w14:schemeClr w14:val="tx1"/>
                  </w14:solidFill>
                </w14:textFill>
              </w:rPr>
              <w:t>2</w:t>
            </w:r>
            <w:r>
              <w:rPr>
                <w:rFonts w:hint="default"/>
                <w:color w:val="000000" w:themeColor="text1"/>
                <w14:textFill>
                  <w14:solidFill>
                    <w14:schemeClr w14:val="tx1"/>
                  </w14:solidFill>
                </w14:textFill>
              </w:rPr>
              <w:t>门课程至少选修</w:t>
            </w:r>
            <w:r>
              <w:rPr>
                <w:rFonts w:hint="default"/>
                <w:color w:val="000000" w:themeColor="text1"/>
                <w:lang w:val="en-US" w:eastAsia="zh-CN"/>
                <w14:textFill>
                  <w14:solidFill>
                    <w14:schemeClr w14:val="tx1"/>
                  </w14:solidFill>
                </w14:textFill>
              </w:rPr>
              <w:t>1</w:t>
            </w:r>
            <w:r>
              <w:rPr>
                <w:rFonts w:hint="default"/>
                <w:color w:val="000000" w:themeColor="text1"/>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47" w:type="dxa"/>
            <w:gridSpan w:val="5"/>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31.5</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506</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480</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w:t>
            </w: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创新创业</w:t>
            </w:r>
          </w:p>
        </w:tc>
        <w:tc>
          <w:tcPr>
            <w:tcW w:w="458" w:type="dxa"/>
            <w:gridSpan w:val="3"/>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必修</w:t>
            </w:r>
          </w:p>
        </w:tc>
        <w:tc>
          <w:tcPr>
            <w:tcW w:w="7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B2201010</w:t>
            </w:r>
          </w:p>
        </w:tc>
        <w:tc>
          <w:tcPr>
            <w:tcW w:w="15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创新创业基础</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20</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58"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B2211010</w:t>
            </w:r>
          </w:p>
        </w:tc>
        <w:tc>
          <w:tcPr>
            <w:tcW w:w="15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就业指导</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58" w:type="dxa"/>
            <w:gridSpan w:val="3"/>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选修</w:t>
            </w:r>
          </w:p>
        </w:tc>
        <w:tc>
          <w:tcPr>
            <w:tcW w:w="7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B2201020</w:t>
            </w:r>
          </w:p>
        </w:tc>
        <w:tc>
          <w:tcPr>
            <w:tcW w:w="15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创造性思维与创新方法</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58"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B2201030</w:t>
            </w:r>
          </w:p>
        </w:tc>
        <w:tc>
          <w:tcPr>
            <w:tcW w:w="15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本科研讨课</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58"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89"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36</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24</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37" w:type="dxa"/>
            <w:gridSpan w:val="6"/>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公共选修课</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96</w:t>
            </w:r>
          </w:p>
        </w:tc>
        <w:tc>
          <w:tcPr>
            <w:tcW w:w="4165" w:type="dxa"/>
            <w:gridSpan w:val="13"/>
            <w:noWrap w:val="0"/>
            <w:tcMar>
              <w:left w:w="28" w:type="dxa"/>
              <w:right w:w="28" w:type="dxa"/>
            </w:tcMar>
            <w:vAlign w:val="center"/>
          </w:tcPr>
          <w:p>
            <w:pPr>
              <w:pStyle w:val="27"/>
              <w:bidi w:val="0"/>
              <w:jc w:val="lef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于1-7学期开设，开设人文社会科学、数学和自然科学等方面课程，涵盖创新创业、人文社科、经济管理、科学技术、艺术教育等知识内容。学生至少选修6个学分，其中要有2个公共艺术课程学分。</w:t>
            </w: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37" w:type="dxa"/>
            <w:gridSpan w:val="6"/>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合  计</w:t>
            </w:r>
          </w:p>
        </w:tc>
        <w:tc>
          <w:tcPr>
            <w:tcW w:w="4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71</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1160</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860</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56</w:t>
            </w: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80</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128</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18.5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18.5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9.5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2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71</w:t>
            </w:r>
          </w:p>
        </w:tc>
        <w:tc>
          <w:tcPr>
            <w:tcW w:w="83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r>
    </w:tbl>
    <w:p>
      <w:pPr>
        <w:rPr>
          <w:rFonts w:hint="default" w:ascii="Times New Roman" w:hAnsi="Times New Roman" w:eastAsia="仿宋_GB2312" w:cs="Times New Roman"/>
          <w:b/>
          <w:bCs/>
          <w:color w:val="000000" w:themeColor="text1"/>
          <w:sz w:val="24"/>
          <w:highlight w:val="none"/>
          <w14:textFill>
            <w14:solidFill>
              <w14:schemeClr w14:val="tx1"/>
            </w14:solidFill>
          </w14:textFill>
        </w:rPr>
      </w:pPr>
    </w:p>
    <w:p>
      <w:pPr>
        <w:rPr>
          <w:rFonts w:hint="default" w:ascii="Times New Roman" w:hAnsi="Times New Roman" w:eastAsia="仿宋_GB2312" w:cs="Times New Roman"/>
          <w:b/>
          <w:bCs/>
          <w:color w:val="000000" w:themeColor="text1"/>
          <w:sz w:val="24"/>
          <w:highlight w:val="none"/>
          <w14:textFill>
            <w14:solidFill>
              <w14:schemeClr w14:val="tx1"/>
            </w14:solidFill>
          </w14:textFill>
        </w:rPr>
      </w:pPr>
    </w:p>
    <w:p>
      <w:pPr>
        <w:rPr>
          <w:rFonts w:hint="default" w:ascii="Times New Roman" w:hAnsi="Times New Roman" w:eastAsia="仿宋_GB2312" w:cs="Times New Roman"/>
          <w:b/>
          <w:bCs/>
          <w:color w:val="000000" w:themeColor="text1"/>
          <w:sz w:val="24"/>
          <w:highlight w:val="none"/>
          <w14:textFill>
            <w14:solidFill>
              <w14:schemeClr w14:val="tx1"/>
            </w14:solidFill>
          </w14:textFill>
        </w:rPr>
      </w:pPr>
    </w:p>
    <w:p>
      <w:pPr>
        <w:tabs>
          <w:tab w:val="left" w:pos="6165"/>
        </w:tabs>
        <w:jc w:val="left"/>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ab/>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专业代码：081404T       </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专业名称：地下水科学与工程</w:t>
      </w:r>
    </w:p>
    <w:tbl>
      <w:tblPr>
        <w:tblStyle w:val="18"/>
        <w:tblW w:w="8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
        <w:gridCol w:w="318"/>
        <w:gridCol w:w="323"/>
        <w:gridCol w:w="343"/>
        <w:gridCol w:w="783"/>
        <w:gridCol w:w="1408"/>
        <w:gridCol w:w="303"/>
        <w:gridCol w:w="343"/>
        <w:gridCol w:w="292"/>
        <w:gridCol w:w="289"/>
        <w:gridCol w:w="328"/>
        <w:gridCol w:w="328"/>
        <w:gridCol w:w="324"/>
        <w:gridCol w:w="324"/>
        <w:gridCol w:w="324"/>
        <w:gridCol w:w="324"/>
        <w:gridCol w:w="324"/>
        <w:gridCol w:w="324"/>
        <w:gridCol w:w="324"/>
        <w:gridCol w:w="324"/>
        <w:gridCol w:w="313"/>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31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教学体系</w:t>
            </w:r>
          </w:p>
        </w:tc>
        <w:tc>
          <w:tcPr>
            <w:tcW w:w="318"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知识体系</w:t>
            </w:r>
          </w:p>
        </w:tc>
        <w:tc>
          <w:tcPr>
            <w:tcW w:w="666"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性质</w:t>
            </w:r>
          </w:p>
        </w:tc>
        <w:tc>
          <w:tcPr>
            <w:tcW w:w="78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编号</w:t>
            </w:r>
          </w:p>
        </w:tc>
        <w:tc>
          <w:tcPr>
            <w:tcW w:w="1408"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课程名称</w:t>
            </w:r>
          </w:p>
        </w:tc>
        <w:tc>
          <w:tcPr>
            <w:tcW w:w="30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分</w:t>
            </w:r>
          </w:p>
        </w:tc>
        <w:tc>
          <w:tcPr>
            <w:tcW w:w="1580" w:type="dxa"/>
            <w:gridSpan w:val="5"/>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学时分配</w:t>
            </w:r>
          </w:p>
        </w:tc>
        <w:tc>
          <w:tcPr>
            <w:tcW w:w="324"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核</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方</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式</w:t>
            </w:r>
          </w:p>
        </w:tc>
        <w:tc>
          <w:tcPr>
            <w:tcW w:w="2581" w:type="dxa"/>
            <w:gridSpan w:val="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按学期分布</w:t>
            </w:r>
          </w:p>
        </w:tc>
        <w:tc>
          <w:tcPr>
            <w:tcW w:w="71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开课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40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总</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时</w:t>
            </w:r>
          </w:p>
        </w:tc>
        <w:tc>
          <w:tcPr>
            <w:tcW w:w="58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理论</w:t>
            </w:r>
          </w:p>
        </w:tc>
        <w:tc>
          <w:tcPr>
            <w:tcW w:w="328"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实验</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上机</w:t>
            </w:r>
          </w:p>
        </w:tc>
        <w:tc>
          <w:tcPr>
            <w:tcW w:w="328"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其他</w:t>
            </w:r>
          </w:p>
        </w:tc>
        <w:tc>
          <w:tcPr>
            <w:tcW w:w="32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31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7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40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线下</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线上</w:t>
            </w: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1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17周</w:t>
            </w:r>
          </w:p>
        </w:tc>
        <w:tc>
          <w:tcPr>
            <w:tcW w:w="7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31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专业教育</w:t>
            </w:r>
          </w:p>
        </w:tc>
        <w:tc>
          <w:tcPr>
            <w:tcW w:w="318"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学科基础</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w:t>
            </w:r>
          </w:p>
        </w:tc>
        <w:tc>
          <w:tcPr>
            <w:tcW w:w="666"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必修</w:t>
            </w:r>
          </w:p>
        </w:tc>
        <w:tc>
          <w:tcPr>
            <w:tcW w:w="7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A2014010</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画法几何与工程制图</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2.5</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42</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2.5</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1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7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B2092040</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地貌学与第四纪</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地质学</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40</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24</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1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7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A2091010</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普通地质学</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54</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3.5</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1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7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B209202</w:t>
            </w:r>
            <w:r>
              <w:rPr>
                <w:rFonts w:hint="default"/>
                <w:color w:val="000000" w:themeColor="text1"/>
                <w:lang w:val="en-US" w:eastAsia="zh-CN"/>
                <w14:textFill>
                  <w14:solidFill>
                    <w14:schemeClr w14:val="tx1"/>
                  </w14:solidFill>
                </w14:textFill>
              </w:rPr>
              <w:t>3</w:t>
            </w:r>
          </w:p>
        </w:tc>
        <w:tc>
          <w:tcPr>
            <w:tcW w:w="140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水文地质学基础</w:t>
            </w:r>
            <w:r>
              <w:rPr>
                <w:rFonts w:hint="default"/>
                <w:color w:val="000000" w:themeColor="text1"/>
                <w:lang w:val="en-US" w:eastAsia="zh-CN"/>
                <w14:textFill>
                  <w14:solidFill>
                    <w14:schemeClr w14:val="tx1"/>
                  </w14:solidFill>
                </w14:textFill>
              </w:rPr>
              <w:t>A</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3.5</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58</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3.5</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1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7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A209105</w:t>
            </w:r>
            <w:r>
              <w:rPr>
                <w:rFonts w:hint="default"/>
                <w:color w:val="000000" w:themeColor="text1"/>
                <w:lang w:val="en-US" w:eastAsia="zh-CN"/>
                <w14:textFill>
                  <w14:solidFill>
                    <w14:schemeClr w14:val="tx1"/>
                  </w14:solidFill>
                </w14:textFill>
              </w:rPr>
              <w:t>1</w:t>
            </w:r>
          </w:p>
        </w:tc>
        <w:tc>
          <w:tcPr>
            <w:tcW w:w="140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古生物地层学</w:t>
            </w:r>
            <w:r>
              <w:rPr>
                <w:rFonts w:hint="default"/>
                <w:color w:val="000000" w:themeColor="text1"/>
                <w:lang w:val="en-US" w:eastAsia="zh-CN"/>
                <w14:textFill>
                  <w14:solidFill>
                    <w14:schemeClr w14:val="tx1"/>
                  </w14:solidFill>
                </w14:textFill>
              </w:rPr>
              <w:t>B</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44</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2.5</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1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7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A209117</w:t>
            </w:r>
            <w:r>
              <w:rPr>
                <w:rFonts w:hint="default"/>
                <w:color w:val="000000" w:themeColor="text1"/>
                <w:lang w:val="en-US" w:eastAsia="zh-CN"/>
                <w14:textFill>
                  <w14:solidFill>
                    <w14:schemeClr w14:val="tx1"/>
                  </w14:solidFill>
                </w14:textFill>
              </w:rPr>
              <w:t>2</w:t>
            </w:r>
          </w:p>
        </w:tc>
        <w:tc>
          <w:tcPr>
            <w:tcW w:w="140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矿物岩石学</w:t>
            </w:r>
            <w:r>
              <w:rPr>
                <w:rFonts w:hint="default"/>
                <w:color w:val="000000" w:themeColor="text1"/>
                <w:lang w:val="en-US" w:eastAsia="zh-CN"/>
                <w14:textFill>
                  <w14:solidFill>
                    <w14:schemeClr w14:val="tx1"/>
                  </w14:solidFill>
                </w14:textFill>
              </w:rPr>
              <w:t>A</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1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7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A2091</w:t>
            </w:r>
            <w:r>
              <w:rPr>
                <w:rFonts w:hint="default"/>
                <w:color w:val="000000" w:themeColor="text1"/>
                <w:lang w:val="en-US" w:eastAsia="zh-CN"/>
                <w14:textFill>
                  <w14:solidFill>
                    <w14:schemeClr w14:val="tx1"/>
                  </w14:solidFill>
                </w14:textFill>
              </w:rPr>
              <w:t>100</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岩土力学</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1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7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A209104</w:t>
            </w:r>
            <w:r>
              <w:rPr>
                <w:rFonts w:hint="default"/>
                <w:color w:val="000000" w:themeColor="text1"/>
                <w:lang w:val="en-US" w:eastAsia="zh-CN"/>
                <w14:textFill>
                  <w14:solidFill>
                    <w14:schemeClr w14:val="tx1"/>
                  </w14:solidFill>
                </w14:textFill>
              </w:rPr>
              <w:t>1</w:t>
            </w:r>
          </w:p>
        </w:tc>
        <w:tc>
          <w:tcPr>
            <w:tcW w:w="140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构造地质学</w:t>
            </w:r>
            <w:r>
              <w:rPr>
                <w:rFonts w:hint="default"/>
                <w:color w:val="000000" w:themeColor="text1"/>
                <w:lang w:val="en-US" w:eastAsia="zh-CN"/>
                <w14:textFill>
                  <w14:solidFill>
                    <w14:schemeClr w14:val="tx1"/>
                  </w14:solidFill>
                </w14:textFill>
              </w:rPr>
              <w:t>B</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1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7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B2094020</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水文地球化学</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42</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1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7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A2091340</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水力学</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42</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1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7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　</w:t>
            </w:r>
            <w:r>
              <w:rPr>
                <w:rFonts w:hint="default"/>
                <w:color w:val="000000" w:themeColor="text1"/>
                <w:lang w:val="en-US" w:eastAsia="zh-CN"/>
                <w14:textFill>
                  <w14:solidFill>
                    <w14:schemeClr w14:val="tx1"/>
                  </w14:solidFill>
                </w14:textFill>
              </w:rPr>
              <w:t>B2080010</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信息技术与人工智能概论</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1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7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B2191110</w:t>
            </w:r>
            <w:r>
              <w:rPr>
                <w:rFonts w:hint="default"/>
                <w:color w:val="000000" w:themeColor="text1"/>
                <w14:textFill>
                  <w14:solidFill>
                    <w14:schemeClr w14:val="tx1"/>
                  </w14:solidFill>
                </w14:textFill>
              </w:rPr>
              <w:t>　</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应急处置与应急管理概论</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1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7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安全学院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选修</w:t>
            </w:r>
          </w:p>
        </w:tc>
        <w:tc>
          <w:tcPr>
            <w:tcW w:w="34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限选</w:t>
            </w:r>
          </w:p>
        </w:tc>
        <w:tc>
          <w:tcPr>
            <w:tcW w:w="7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B2095420　</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环境保护与职业健康概论</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1 </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16 </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1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7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A2041080</w:t>
            </w:r>
          </w:p>
        </w:tc>
        <w:tc>
          <w:tcPr>
            <w:tcW w:w="1408" w:type="dxa"/>
            <w:noWrap w:val="0"/>
            <w:tcMar>
              <w:left w:w="28" w:type="dxa"/>
              <w:right w:w="28" w:type="dxa"/>
            </w:tcMar>
            <w:vAlign w:val="center"/>
          </w:tcPr>
          <w:p>
            <w:pPr>
              <w:pStyle w:val="27"/>
              <w:bidi w:val="0"/>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项目管理与经济分析概论</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B2101010</w:t>
            </w:r>
          </w:p>
        </w:tc>
        <w:tc>
          <w:tcPr>
            <w:tcW w:w="140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工程测量</w:t>
            </w:r>
          </w:p>
        </w:tc>
        <w:tc>
          <w:tcPr>
            <w:tcW w:w="30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p>
        </w:tc>
        <w:tc>
          <w:tcPr>
            <w:tcW w:w="34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32</w:t>
            </w:r>
          </w:p>
        </w:tc>
        <w:tc>
          <w:tcPr>
            <w:tcW w:w="29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32</w:t>
            </w:r>
          </w:p>
        </w:tc>
        <w:tc>
          <w:tcPr>
            <w:tcW w:w="28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p>
        </w:tc>
        <w:tc>
          <w:tcPr>
            <w:tcW w:w="32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　</w:t>
            </w:r>
          </w:p>
        </w:tc>
        <w:tc>
          <w:tcPr>
            <w:tcW w:w="31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　</w:t>
            </w:r>
          </w:p>
        </w:tc>
        <w:tc>
          <w:tcPr>
            <w:tcW w:w="71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测绘学院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B2210010</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网络信息检索</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任选</w:t>
            </w:r>
          </w:p>
        </w:tc>
        <w:tc>
          <w:tcPr>
            <w:tcW w:w="7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B2094060</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水利工程概论</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2 </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32 </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1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7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B2094070</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水文学原理</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2 </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32 </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1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7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B2092010</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地下水科学与工程专业外语</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2 </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32 </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1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7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B2092120</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工程地质学概论</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2 </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38 </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1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7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95" w:type="dxa"/>
            <w:gridSpan w:val="18"/>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以上8门课程至少选修6学分。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7" w:type="dxa"/>
            <w:gridSpan w:val="4"/>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34</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610</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488</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24</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70</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5.5</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7.5</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9</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r>
    </w:tbl>
    <w:p>
      <w:pPr>
        <w:pStyle w:val="12"/>
        <w:bidi w:val="0"/>
        <w:rPr>
          <w:rStyle w:val="28"/>
          <w:rFonts w:hint="default"/>
          <w:color w:val="000000" w:themeColor="text1"/>
          <w14:textFill>
            <w14:solidFill>
              <w14:schemeClr w14:val="tx1"/>
            </w14:solidFill>
          </w14:textFill>
        </w:rPr>
      </w:pPr>
      <w:r>
        <w:rPr>
          <w:rFonts w:hint="default" w:ascii="Times New Roman" w:hAnsi="Times New Roman" w:eastAsia="仿宋_GB2312" w:cs="Times New Roman"/>
          <w:b/>
          <w:bCs/>
          <w:color w:val="000000" w:themeColor="text1"/>
          <w:sz w:val="24"/>
          <w:highlight w:val="none"/>
          <w14:textFill>
            <w14:solidFill>
              <w14:schemeClr w14:val="tx1"/>
            </w14:solidFill>
          </w14:textFill>
        </w:rPr>
        <w:br w:type="page"/>
      </w:r>
      <w:r>
        <w:rPr>
          <w:rStyle w:val="28"/>
          <w:rFonts w:hint="default"/>
          <w:color w:val="000000" w:themeColor="text1"/>
          <w14:textFill>
            <w14:solidFill>
              <w14:schemeClr w14:val="tx1"/>
            </w14:solidFill>
          </w14:textFill>
        </w:rPr>
        <w:t xml:space="preserve">专业代码：081404T    </w:t>
      </w:r>
      <w:r>
        <w:rPr>
          <w:rStyle w:val="28"/>
          <w:rFonts w:hint="eastAsia"/>
          <w:color w:val="000000" w:themeColor="text1"/>
          <w:lang w:val="en-US" w:eastAsia="zh-CN"/>
          <w14:textFill>
            <w14:solidFill>
              <w14:schemeClr w14:val="tx1"/>
            </w14:solidFill>
          </w14:textFill>
        </w:rPr>
        <w:t xml:space="preserve">                            </w:t>
      </w:r>
      <w:r>
        <w:rPr>
          <w:rStyle w:val="28"/>
          <w:rFonts w:hint="default"/>
          <w:color w:val="000000" w:themeColor="text1"/>
          <w14:textFill>
            <w14:solidFill>
              <w14:schemeClr w14:val="tx1"/>
            </w14:solidFill>
          </w14:textFill>
        </w:rPr>
        <w:t xml:space="preserve">   专业名称：地下水科学与工程</w:t>
      </w:r>
    </w:p>
    <w:tbl>
      <w:tblPr>
        <w:tblStyle w:val="18"/>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
        <w:gridCol w:w="328"/>
        <w:gridCol w:w="477"/>
        <w:gridCol w:w="764"/>
        <w:gridCol w:w="1590"/>
        <w:gridCol w:w="8"/>
        <w:gridCol w:w="405"/>
        <w:gridCol w:w="358"/>
        <w:gridCol w:w="317"/>
        <w:gridCol w:w="320"/>
        <w:gridCol w:w="5"/>
        <w:gridCol w:w="312"/>
        <w:gridCol w:w="5"/>
        <w:gridCol w:w="321"/>
        <w:gridCol w:w="317"/>
        <w:gridCol w:w="324"/>
        <w:gridCol w:w="324"/>
        <w:gridCol w:w="324"/>
        <w:gridCol w:w="324"/>
        <w:gridCol w:w="324"/>
        <w:gridCol w:w="324"/>
        <w:gridCol w:w="324"/>
        <w:gridCol w:w="250"/>
        <w:gridCol w:w="689"/>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312"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教学体系</w:t>
            </w:r>
          </w:p>
        </w:tc>
        <w:tc>
          <w:tcPr>
            <w:tcW w:w="328"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知识体系</w:t>
            </w:r>
          </w:p>
        </w:tc>
        <w:tc>
          <w:tcPr>
            <w:tcW w:w="47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性质</w:t>
            </w:r>
          </w:p>
        </w:tc>
        <w:tc>
          <w:tcPr>
            <w:tcW w:w="764"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编号</w:t>
            </w:r>
          </w:p>
        </w:tc>
        <w:tc>
          <w:tcPr>
            <w:tcW w:w="159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课程名称</w:t>
            </w:r>
          </w:p>
        </w:tc>
        <w:tc>
          <w:tcPr>
            <w:tcW w:w="413"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分</w:t>
            </w:r>
          </w:p>
        </w:tc>
        <w:tc>
          <w:tcPr>
            <w:tcW w:w="1638" w:type="dxa"/>
            <w:gridSpan w:val="7"/>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学时分配</w:t>
            </w:r>
          </w:p>
        </w:tc>
        <w:tc>
          <w:tcPr>
            <w:tcW w:w="31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核</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方</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式</w:t>
            </w:r>
          </w:p>
        </w:tc>
        <w:tc>
          <w:tcPr>
            <w:tcW w:w="2518" w:type="dxa"/>
            <w:gridSpan w:val="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按学期分布</w:t>
            </w:r>
          </w:p>
        </w:tc>
        <w:tc>
          <w:tcPr>
            <w:tcW w:w="697"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开课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7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5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13"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8"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总</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时</w:t>
            </w:r>
          </w:p>
        </w:tc>
        <w:tc>
          <w:tcPr>
            <w:tcW w:w="63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理论</w:t>
            </w:r>
          </w:p>
        </w:tc>
        <w:tc>
          <w:tcPr>
            <w:tcW w:w="317"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实验</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上机</w:t>
            </w:r>
          </w:p>
        </w:tc>
        <w:tc>
          <w:tcPr>
            <w:tcW w:w="326"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其</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他</w:t>
            </w:r>
          </w:p>
        </w:tc>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2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697"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7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5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13"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线下</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线上</w:t>
            </w:r>
          </w:p>
        </w:tc>
        <w:tc>
          <w:tcPr>
            <w:tcW w:w="317"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2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17周</w:t>
            </w:r>
          </w:p>
        </w:tc>
        <w:tc>
          <w:tcPr>
            <w:tcW w:w="697"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312"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专业教育</w:t>
            </w:r>
          </w:p>
        </w:tc>
        <w:tc>
          <w:tcPr>
            <w:tcW w:w="328"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专业课</w:t>
            </w:r>
          </w:p>
        </w:tc>
        <w:tc>
          <w:tcPr>
            <w:tcW w:w="47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必修</w:t>
            </w:r>
          </w:p>
        </w:tc>
        <w:tc>
          <w:tcPr>
            <w:tcW w:w="7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A2094030</w:t>
            </w:r>
          </w:p>
        </w:tc>
        <w:tc>
          <w:tcPr>
            <w:tcW w:w="15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地下水动力学</w:t>
            </w:r>
          </w:p>
        </w:tc>
        <w:tc>
          <w:tcPr>
            <w:tcW w:w="41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54</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7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A2094010</w:t>
            </w:r>
          </w:p>
        </w:tc>
        <w:tc>
          <w:tcPr>
            <w:tcW w:w="15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专门水文地质学</w:t>
            </w:r>
          </w:p>
        </w:tc>
        <w:tc>
          <w:tcPr>
            <w:tcW w:w="41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7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A2094020</w:t>
            </w:r>
          </w:p>
        </w:tc>
        <w:tc>
          <w:tcPr>
            <w:tcW w:w="15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地下水溶质运移</w:t>
            </w:r>
          </w:p>
        </w:tc>
        <w:tc>
          <w:tcPr>
            <w:tcW w:w="41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7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A2094090</w:t>
            </w:r>
          </w:p>
        </w:tc>
        <w:tc>
          <w:tcPr>
            <w:tcW w:w="15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地下水污染控制与修复</w:t>
            </w:r>
          </w:p>
        </w:tc>
        <w:tc>
          <w:tcPr>
            <w:tcW w:w="41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2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7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A2094040</w:t>
            </w:r>
          </w:p>
        </w:tc>
        <w:tc>
          <w:tcPr>
            <w:tcW w:w="15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地下水资源开发与保护</w:t>
            </w:r>
          </w:p>
        </w:tc>
        <w:tc>
          <w:tcPr>
            <w:tcW w:w="41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2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7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A2094050</w:t>
            </w:r>
          </w:p>
        </w:tc>
        <w:tc>
          <w:tcPr>
            <w:tcW w:w="15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水工环地球物理</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勘探</w:t>
            </w:r>
          </w:p>
        </w:tc>
        <w:tc>
          <w:tcPr>
            <w:tcW w:w="41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38</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7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A2094060</w:t>
            </w:r>
          </w:p>
        </w:tc>
        <w:tc>
          <w:tcPr>
            <w:tcW w:w="15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地下水数值模拟</w:t>
            </w:r>
          </w:p>
        </w:tc>
        <w:tc>
          <w:tcPr>
            <w:tcW w:w="41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2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7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A2094070</w:t>
            </w:r>
          </w:p>
        </w:tc>
        <w:tc>
          <w:tcPr>
            <w:tcW w:w="15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矿井水害防治</w:t>
            </w:r>
          </w:p>
        </w:tc>
        <w:tc>
          <w:tcPr>
            <w:tcW w:w="41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2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7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B209</w:t>
            </w:r>
            <w:r>
              <w:rPr>
                <w:rFonts w:hint="default"/>
                <w:color w:val="000000" w:themeColor="text1"/>
                <w:lang w:val="en-US" w:eastAsia="zh-CN"/>
                <w14:textFill>
                  <w14:solidFill>
                    <w14:schemeClr w14:val="tx1"/>
                  </w14:solidFill>
                </w14:textFill>
              </w:rPr>
              <w:t>5150</w:t>
            </w:r>
          </w:p>
        </w:tc>
        <w:tc>
          <w:tcPr>
            <w:tcW w:w="15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专业前沿讲座</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（双语教学）</w:t>
            </w:r>
          </w:p>
        </w:tc>
        <w:tc>
          <w:tcPr>
            <w:tcW w:w="41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69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7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选修</w:t>
            </w:r>
          </w:p>
        </w:tc>
        <w:tc>
          <w:tcPr>
            <w:tcW w:w="76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A209106</w:t>
            </w:r>
            <w:r>
              <w:rPr>
                <w:rFonts w:hint="default"/>
                <w:color w:val="000000" w:themeColor="text1"/>
                <w:lang w:val="en-US" w:eastAsia="zh-CN"/>
                <w14:textFill>
                  <w14:solidFill>
                    <w14:schemeClr w14:val="tx1"/>
                  </w14:solidFill>
                </w14:textFill>
              </w:rPr>
              <w:t>1</w:t>
            </w:r>
          </w:p>
        </w:tc>
        <w:tc>
          <w:tcPr>
            <w:tcW w:w="159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煤地质学</w:t>
            </w:r>
            <w:r>
              <w:rPr>
                <w:rFonts w:hint="default"/>
                <w:color w:val="000000" w:themeColor="text1"/>
                <w:lang w:val="en-US" w:eastAsia="zh-CN"/>
                <w14:textFill>
                  <w14:solidFill>
                    <w14:schemeClr w14:val="tx1"/>
                  </w14:solidFill>
                </w14:textFill>
              </w:rPr>
              <w:t>B</w:t>
            </w:r>
          </w:p>
        </w:tc>
        <w:tc>
          <w:tcPr>
            <w:tcW w:w="41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7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A2094080</w:t>
            </w:r>
          </w:p>
        </w:tc>
        <w:tc>
          <w:tcPr>
            <w:tcW w:w="15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水环境监测与评价</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（双语）</w:t>
            </w:r>
          </w:p>
        </w:tc>
        <w:tc>
          <w:tcPr>
            <w:tcW w:w="41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2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7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B2091030</w:t>
            </w:r>
          </w:p>
        </w:tc>
        <w:tc>
          <w:tcPr>
            <w:tcW w:w="15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遥感地质学</w:t>
            </w:r>
          </w:p>
        </w:tc>
        <w:tc>
          <w:tcPr>
            <w:tcW w:w="41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7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A2091330</w:t>
            </w:r>
          </w:p>
        </w:tc>
        <w:tc>
          <w:tcPr>
            <w:tcW w:w="15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钻探工程</w:t>
            </w:r>
          </w:p>
        </w:tc>
        <w:tc>
          <w:tcPr>
            <w:tcW w:w="41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36</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7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B2094080</w:t>
            </w:r>
          </w:p>
        </w:tc>
        <w:tc>
          <w:tcPr>
            <w:tcW w:w="15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矿山生态环境修复</w:t>
            </w:r>
          </w:p>
        </w:tc>
        <w:tc>
          <w:tcPr>
            <w:tcW w:w="41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7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A2092010</w:t>
            </w:r>
          </w:p>
        </w:tc>
        <w:tc>
          <w:tcPr>
            <w:tcW w:w="15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计算机地质制图</w:t>
            </w:r>
          </w:p>
        </w:tc>
        <w:tc>
          <w:tcPr>
            <w:tcW w:w="41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40</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24</w:t>
            </w: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7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B2091010</w:t>
            </w:r>
          </w:p>
        </w:tc>
        <w:tc>
          <w:tcPr>
            <w:tcW w:w="15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地学信息技术</w:t>
            </w:r>
          </w:p>
        </w:tc>
        <w:tc>
          <w:tcPr>
            <w:tcW w:w="41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38</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2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7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B2094100</w:t>
            </w:r>
          </w:p>
        </w:tc>
        <w:tc>
          <w:tcPr>
            <w:tcW w:w="15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地下水资源管理（双语）</w:t>
            </w:r>
          </w:p>
        </w:tc>
        <w:tc>
          <w:tcPr>
            <w:tcW w:w="41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2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7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B2091150</w:t>
            </w:r>
          </w:p>
        </w:tc>
        <w:tc>
          <w:tcPr>
            <w:tcW w:w="15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矿井物探</w:t>
            </w:r>
          </w:p>
        </w:tc>
        <w:tc>
          <w:tcPr>
            <w:tcW w:w="41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38</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2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7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B2094110</w:t>
            </w:r>
          </w:p>
        </w:tc>
        <w:tc>
          <w:tcPr>
            <w:tcW w:w="15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生态水文地质学</w:t>
            </w:r>
          </w:p>
        </w:tc>
        <w:tc>
          <w:tcPr>
            <w:tcW w:w="41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2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7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B2094120</w:t>
            </w:r>
          </w:p>
        </w:tc>
        <w:tc>
          <w:tcPr>
            <w:tcW w:w="15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水文地质与工程地质</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勘查</w:t>
            </w:r>
          </w:p>
        </w:tc>
        <w:tc>
          <w:tcPr>
            <w:tcW w:w="41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14" w:type="dxa"/>
            <w:gridSpan w:val="23"/>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以上11门课程至少选修5学分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34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39" w:type="dxa"/>
            <w:gridSpan w:val="4"/>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405" w:type="dxa"/>
            <w:noWrap w:val="0"/>
            <w:tcMar>
              <w:left w:w="28" w:type="dxa"/>
              <w:right w:w="28" w:type="dxa"/>
            </w:tcMar>
            <w:vAlign w:val="bottom"/>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23</w:t>
            </w:r>
          </w:p>
        </w:tc>
        <w:tc>
          <w:tcPr>
            <w:tcW w:w="358" w:type="dxa"/>
            <w:noWrap w:val="0"/>
            <w:tcMar>
              <w:left w:w="28" w:type="dxa"/>
              <w:right w:w="28" w:type="dxa"/>
            </w:tcMar>
            <w:vAlign w:val="bottom"/>
          </w:tcPr>
          <w:p>
            <w:pPr>
              <w:pStyle w:val="27"/>
              <w:bidi w:val="0"/>
              <w:rPr>
                <w:rFonts w:hint="default"/>
                <w:color w:val="000000" w:themeColor="text1"/>
                <w:lang w:eastAsia="zh-CN"/>
                <w14:textFill>
                  <w14:solidFill>
                    <w14:schemeClr w14:val="tx1"/>
                  </w14:solidFill>
                </w14:textFill>
              </w:rPr>
            </w:pPr>
            <w:r>
              <w:rPr>
                <w:rFonts w:hint="default"/>
                <w:color w:val="000000" w:themeColor="text1"/>
                <w14:textFill>
                  <w14:solidFill>
                    <w14:schemeClr w14:val="tx1"/>
                  </w14:solidFill>
                </w14:textFill>
              </w:rPr>
              <w:t>38</w:t>
            </w:r>
            <w:r>
              <w:rPr>
                <w:rFonts w:hint="default"/>
                <w:color w:val="000000" w:themeColor="text1"/>
                <w:lang w:val="en-US" w:eastAsia="zh-CN"/>
                <w14:textFill>
                  <w14:solidFill>
                    <w14:schemeClr w14:val="tx1"/>
                  </w14:solidFill>
                </w14:textFill>
              </w:rPr>
              <w:t>0</w:t>
            </w:r>
          </w:p>
        </w:tc>
        <w:tc>
          <w:tcPr>
            <w:tcW w:w="317" w:type="dxa"/>
            <w:noWrap w:val="0"/>
            <w:tcMar>
              <w:left w:w="28" w:type="dxa"/>
              <w:right w:w="28" w:type="dxa"/>
            </w:tcMar>
            <w:vAlign w:val="bottom"/>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320</w:t>
            </w:r>
          </w:p>
        </w:tc>
        <w:tc>
          <w:tcPr>
            <w:tcW w:w="320" w:type="dxa"/>
            <w:noWrap w:val="0"/>
            <w:tcMar>
              <w:left w:w="28" w:type="dxa"/>
              <w:right w:w="28" w:type="dxa"/>
            </w:tcMar>
            <w:vAlign w:val="bottom"/>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24</w:t>
            </w:r>
          </w:p>
        </w:tc>
        <w:tc>
          <w:tcPr>
            <w:tcW w:w="317" w:type="dxa"/>
            <w:gridSpan w:val="2"/>
            <w:noWrap w:val="0"/>
            <w:tcMar>
              <w:left w:w="28" w:type="dxa"/>
              <w:right w:w="28" w:type="dxa"/>
            </w:tcMar>
            <w:vAlign w:val="bottom"/>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44</w:t>
            </w:r>
          </w:p>
        </w:tc>
        <w:tc>
          <w:tcPr>
            <w:tcW w:w="326" w:type="dxa"/>
            <w:gridSpan w:val="2"/>
            <w:noWrap w:val="0"/>
            <w:tcMar>
              <w:left w:w="28" w:type="dxa"/>
              <w:right w:w="28" w:type="dxa"/>
            </w:tcMar>
            <w:vAlign w:val="bottom"/>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w:t>
            </w:r>
          </w:p>
        </w:tc>
        <w:tc>
          <w:tcPr>
            <w:tcW w:w="317" w:type="dxa"/>
            <w:noWrap w:val="0"/>
            <w:tcMar>
              <w:left w:w="28" w:type="dxa"/>
              <w:right w:w="28" w:type="dxa"/>
            </w:tcMar>
            <w:vAlign w:val="bottom"/>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bottom"/>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bottom"/>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bottom"/>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bottom"/>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24" w:type="dxa"/>
            <w:noWrap w:val="0"/>
            <w:tcMar>
              <w:left w:w="28" w:type="dxa"/>
              <w:right w:w="28" w:type="dxa"/>
            </w:tcMar>
            <w:vAlign w:val="bottom"/>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w:t>
            </w:r>
          </w:p>
        </w:tc>
        <w:tc>
          <w:tcPr>
            <w:tcW w:w="324" w:type="dxa"/>
            <w:noWrap w:val="0"/>
            <w:tcMar>
              <w:left w:w="28" w:type="dxa"/>
              <w:right w:w="28" w:type="dxa"/>
            </w:tcMar>
            <w:vAlign w:val="bottom"/>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324" w:type="dxa"/>
            <w:noWrap w:val="0"/>
            <w:tcMar>
              <w:left w:w="28" w:type="dxa"/>
              <w:right w:w="28" w:type="dxa"/>
            </w:tcMar>
            <w:vAlign w:val="bottom"/>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250" w:type="dxa"/>
            <w:noWrap w:val="0"/>
            <w:tcMar>
              <w:left w:w="28" w:type="dxa"/>
              <w:right w:w="28" w:type="dxa"/>
            </w:tcMar>
            <w:vAlign w:val="bottom"/>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689" w:type="dxa"/>
            <w:tcBorders>
              <w:top w:val="nil"/>
            </w:tcBorders>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361"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7" w:type="dxa"/>
            <w:gridSpan w:val="5"/>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合计</w:t>
            </w:r>
          </w:p>
        </w:tc>
        <w:tc>
          <w:tcPr>
            <w:tcW w:w="4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57</w:t>
            </w:r>
            <w:r>
              <w:rPr>
                <w:rFonts w:hint="default"/>
                <w:color w:val="000000" w:themeColor="text1"/>
                <w14:textFill>
                  <w14:solidFill>
                    <w14:schemeClr w14:val="tx1"/>
                  </w14:solidFill>
                </w14:textFill>
              </w:rPr>
              <w:t xml:space="preserve"> </w:t>
            </w:r>
          </w:p>
        </w:tc>
        <w:tc>
          <w:tcPr>
            <w:tcW w:w="3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990</w:t>
            </w:r>
            <w:r>
              <w:rPr>
                <w:rFonts w:hint="default"/>
                <w:color w:val="000000" w:themeColor="text1"/>
                <w14:textFill>
                  <w14:solidFill>
                    <w14:schemeClr w14:val="tx1"/>
                  </w14:solidFill>
                </w14:textFill>
              </w:rPr>
              <w:t xml:space="preserve"> </w:t>
            </w:r>
          </w:p>
        </w:tc>
        <w:tc>
          <w:tcPr>
            <w:tcW w:w="317"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9" w:type="dxa"/>
            <w:tcBorders>
              <w:top w:val="nil"/>
            </w:tcBorders>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bl>
    <w:p>
      <w:pPr>
        <w:rPr>
          <w:rFonts w:hint="default" w:ascii="Times New Roman" w:hAnsi="Times New Roman" w:eastAsia="仿宋_GB2312" w:cs="Times New Roman"/>
          <w:b/>
          <w:bCs/>
          <w:color w:val="000000" w:themeColor="text1"/>
          <w:sz w:val="24"/>
          <w:highlight w:val="none"/>
          <w14:textFill>
            <w14:solidFill>
              <w14:schemeClr w14:val="tx1"/>
            </w14:solidFill>
          </w14:textFill>
        </w:rPr>
        <w:sectPr>
          <w:headerReference r:id="rId3" w:type="default"/>
          <w:pgSz w:w="11906" w:h="16838"/>
          <w:pgMar w:top="1587" w:right="1417" w:bottom="1417" w:left="1417" w:header="851" w:footer="992" w:gutter="0"/>
          <w:pgNumType w:fmt="decimal"/>
          <w:cols w:space="0" w:num="1"/>
          <w:rtlGutter w:val="0"/>
          <w:docGrid w:linePitch="312" w:charSpace="0"/>
        </w:sectPr>
      </w:pP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专业代码：081404T     </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 xml:space="preserve">  专业名称：地下水科学与工程</w:t>
      </w:r>
    </w:p>
    <w:tbl>
      <w:tblPr>
        <w:tblStyle w:val="18"/>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3"/>
        <w:gridCol w:w="269"/>
        <w:gridCol w:w="291"/>
        <w:gridCol w:w="751"/>
        <w:gridCol w:w="1526"/>
        <w:gridCol w:w="414"/>
        <w:gridCol w:w="628"/>
        <w:gridCol w:w="374"/>
        <w:gridCol w:w="293"/>
        <w:gridCol w:w="296"/>
        <w:gridCol w:w="287"/>
        <w:gridCol w:w="340"/>
        <w:gridCol w:w="334"/>
        <w:gridCol w:w="334"/>
        <w:gridCol w:w="334"/>
        <w:gridCol w:w="334"/>
        <w:gridCol w:w="334"/>
        <w:gridCol w:w="334"/>
        <w:gridCol w:w="345"/>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教学体系</w:t>
            </w:r>
          </w:p>
        </w:tc>
        <w:tc>
          <w:tcPr>
            <w:tcW w:w="26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知识体系</w:t>
            </w:r>
          </w:p>
        </w:tc>
        <w:tc>
          <w:tcPr>
            <w:tcW w:w="291"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性</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质</w:t>
            </w:r>
          </w:p>
        </w:tc>
        <w:tc>
          <w:tcPr>
            <w:tcW w:w="751"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编号</w:t>
            </w:r>
          </w:p>
        </w:tc>
        <w:tc>
          <w:tcPr>
            <w:tcW w:w="152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课程名称</w:t>
            </w:r>
          </w:p>
        </w:tc>
        <w:tc>
          <w:tcPr>
            <w:tcW w:w="414"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分</w:t>
            </w:r>
          </w:p>
        </w:tc>
        <w:tc>
          <w:tcPr>
            <w:tcW w:w="1591" w:type="dxa"/>
            <w:gridSpan w:val="4"/>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学时分配</w:t>
            </w:r>
          </w:p>
        </w:tc>
        <w:tc>
          <w:tcPr>
            <w:tcW w:w="28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核</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方</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式</w:t>
            </w:r>
          </w:p>
        </w:tc>
        <w:tc>
          <w:tcPr>
            <w:tcW w:w="2689" w:type="dxa"/>
            <w:gridSpan w:val="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按学期分布</w:t>
            </w:r>
          </w:p>
        </w:tc>
        <w:tc>
          <w:tcPr>
            <w:tcW w:w="82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开课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5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5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1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28"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总</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时</w:t>
            </w:r>
          </w:p>
        </w:tc>
        <w:tc>
          <w:tcPr>
            <w:tcW w:w="374"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实验</w:t>
            </w:r>
          </w:p>
        </w:tc>
        <w:tc>
          <w:tcPr>
            <w:tcW w:w="29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上机</w:t>
            </w:r>
          </w:p>
        </w:tc>
        <w:tc>
          <w:tcPr>
            <w:tcW w:w="29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其他</w:t>
            </w: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82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5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5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1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7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17周</w:t>
            </w:r>
          </w:p>
        </w:tc>
        <w:tc>
          <w:tcPr>
            <w:tcW w:w="82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实践</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（含劳动教</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育）</w:t>
            </w:r>
          </w:p>
        </w:tc>
        <w:tc>
          <w:tcPr>
            <w:tcW w:w="26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独立设课实验</w:t>
            </w:r>
          </w:p>
        </w:tc>
        <w:tc>
          <w:tcPr>
            <w:tcW w:w="291"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7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S2013010</w:t>
            </w:r>
          </w:p>
        </w:tc>
        <w:tc>
          <w:tcPr>
            <w:tcW w:w="15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物理实验</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6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54</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54</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S2280030</w:t>
            </w:r>
          </w:p>
        </w:tc>
        <w:tc>
          <w:tcPr>
            <w:tcW w:w="15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形势与政策</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6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689" w:type="dxa"/>
            <w:gridSpan w:val="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每学期4学时讲座</w:t>
            </w: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37" w:type="dxa"/>
            <w:gridSpan w:val="4"/>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6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86</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54</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集中实践教学环节</w:t>
            </w:r>
          </w:p>
        </w:tc>
        <w:tc>
          <w:tcPr>
            <w:tcW w:w="291"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7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S2101090</w:t>
            </w:r>
          </w:p>
        </w:tc>
        <w:tc>
          <w:tcPr>
            <w:tcW w:w="15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工程测量实习</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6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测绘学院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51"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S209</w:t>
            </w:r>
            <w:r>
              <w:rPr>
                <w:rFonts w:hint="default"/>
                <w:color w:val="000000" w:themeColor="text1"/>
                <w:lang w:val="en-US" w:eastAsia="zh-CN"/>
                <w14:textFill>
                  <w14:solidFill>
                    <w14:schemeClr w14:val="tx1"/>
                  </w14:solidFill>
                </w14:textFill>
              </w:rPr>
              <w:t>4030</w:t>
            </w:r>
          </w:p>
        </w:tc>
        <w:tc>
          <w:tcPr>
            <w:tcW w:w="15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认识实习</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6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2周</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S2091010</w:t>
            </w:r>
          </w:p>
        </w:tc>
        <w:tc>
          <w:tcPr>
            <w:tcW w:w="15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构造地质课程设计</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6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S2094010</w:t>
            </w:r>
          </w:p>
        </w:tc>
        <w:tc>
          <w:tcPr>
            <w:tcW w:w="15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水文地质学读图实习</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6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S2094470</w:t>
            </w:r>
          </w:p>
        </w:tc>
        <w:tc>
          <w:tcPr>
            <w:tcW w:w="15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水文地质填图实习</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(含劳动教育32课时)`</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6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4周</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S2094010</w:t>
            </w:r>
          </w:p>
        </w:tc>
        <w:tc>
          <w:tcPr>
            <w:tcW w:w="15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抽（注）水试验课程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设计</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6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2周</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S2094020</w:t>
            </w:r>
          </w:p>
        </w:tc>
        <w:tc>
          <w:tcPr>
            <w:tcW w:w="15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专门水文地质学课程设计</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6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51"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S209</w:t>
            </w:r>
            <w:r>
              <w:rPr>
                <w:rFonts w:hint="default"/>
                <w:color w:val="000000" w:themeColor="text1"/>
                <w:lang w:val="en-US" w:eastAsia="zh-CN"/>
                <w14:textFill>
                  <w14:solidFill>
                    <w14:schemeClr w14:val="tx1"/>
                  </w14:solidFill>
                </w14:textFill>
              </w:rPr>
              <w:t>4510</w:t>
            </w:r>
          </w:p>
        </w:tc>
        <w:tc>
          <w:tcPr>
            <w:tcW w:w="15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生产实习</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6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2周</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S2092130</w:t>
            </w:r>
          </w:p>
        </w:tc>
        <w:tc>
          <w:tcPr>
            <w:tcW w:w="15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矿井防治水课程设计</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6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S2094040</w:t>
            </w:r>
          </w:p>
        </w:tc>
        <w:tc>
          <w:tcPr>
            <w:tcW w:w="15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地下水资源开发与保护课程设计</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6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S2092530</w:t>
            </w:r>
          </w:p>
        </w:tc>
        <w:tc>
          <w:tcPr>
            <w:tcW w:w="15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毕业实习</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6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2周</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S2092540</w:t>
            </w:r>
          </w:p>
        </w:tc>
        <w:tc>
          <w:tcPr>
            <w:tcW w:w="15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毕业设计（论文）</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13</w:t>
            </w:r>
          </w:p>
        </w:tc>
        <w:tc>
          <w:tcPr>
            <w:tcW w:w="6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13周</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S2210010</w:t>
            </w:r>
          </w:p>
        </w:tc>
        <w:tc>
          <w:tcPr>
            <w:tcW w:w="15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入学教育</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6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S2210020</w:t>
            </w:r>
          </w:p>
        </w:tc>
        <w:tc>
          <w:tcPr>
            <w:tcW w:w="15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军训</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6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2周</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S2280040</w:t>
            </w:r>
          </w:p>
        </w:tc>
        <w:tc>
          <w:tcPr>
            <w:tcW w:w="15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思政课实践活动</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6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S2210040</w:t>
            </w:r>
          </w:p>
        </w:tc>
        <w:tc>
          <w:tcPr>
            <w:tcW w:w="15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毕业教育</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6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51"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S2210060</w:t>
            </w:r>
          </w:p>
        </w:tc>
        <w:tc>
          <w:tcPr>
            <w:tcW w:w="15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公益劳动</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6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89" w:type="dxa"/>
            <w:gridSpan w:val="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每学年安排</w:t>
            </w:r>
            <w:r>
              <w:rPr>
                <w:rFonts w:hint="default"/>
                <w:color w:val="000000" w:themeColor="text1"/>
                <w:lang w:val="en-US" w:eastAsia="zh-CN"/>
                <w14:textFill>
                  <w14:solidFill>
                    <w14:schemeClr w14:val="tx1"/>
                  </w14:solidFill>
                </w14:textFill>
              </w:rPr>
              <w:t>1</w:t>
            </w:r>
            <w:r>
              <w:rPr>
                <w:rFonts w:hint="default"/>
                <w:color w:val="000000" w:themeColor="text1"/>
                <w14:textFill>
                  <w14:solidFill>
                    <w14:schemeClr w14:val="tx1"/>
                  </w14:solidFill>
                </w14:textFill>
              </w:rPr>
              <w:t>周</w:t>
            </w: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51"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 S2141000</w:t>
            </w:r>
          </w:p>
        </w:tc>
        <w:tc>
          <w:tcPr>
            <w:tcW w:w="1526" w:type="dxa"/>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lang w:eastAsia="zh-CN"/>
                <w14:textFill>
                  <w14:solidFill>
                    <w14:schemeClr w14:val="tx1"/>
                  </w14:solidFill>
                </w14:textFill>
              </w:rPr>
              <w:t>体质健康测试</w:t>
            </w:r>
          </w:p>
        </w:tc>
        <w:tc>
          <w:tcPr>
            <w:tcW w:w="41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p>
        </w:tc>
        <w:tc>
          <w:tcPr>
            <w:tcW w:w="62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89" w:type="dxa"/>
            <w:gridSpan w:val="8"/>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lang w:eastAsia="zh-CN"/>
                <w14:textFill>
                  <w14:solidFill>
                    <w14:schemeClr w14:val="tx1"/>
                  </w14:solidFill>
                </w14:textFill>
              </w:rPr>
              <w:t>每学年开展一次</w:t>
            </w:r>
          </w:p>
        </w:tc>
        <w:tc>
          <w:tcPr>
            <w:tcW w:w="823" w:type="dxa"/>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lang w:eastAsia="zh-CN"/>
                <w14:textFill>
                  <w14:solidFill>
                    <w14:schemeClr w14:val="tx1"/>
                  </w14:solidFill>
                </w14:textFill>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7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S2230010</w:t>
            </w:r>
          </w:p>
        </w:tc>
        <w:tc>
          <w:tcPr>
            <w:tcW w:w="15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英语翻译与写作训练</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6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S2230120</w:t>
            </w:r>
          </w:p>
        </w:tc>
        <w:tc>
          <w:tcPr>
            <w:tcW w:w="15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英语听说训练</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6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S2095170</w:t>
            </w:r>
          </w:p>
        </w:tc>
        <w:tc>
          <w:tcPr>
            <w:tcW w:w="15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地质信息处理基本能力训练</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6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S2010020</w:t>
            </w:r>
          </w:p>
        </w:tc>
        <w:tc>
          <w:tcPr>
            <w:tcW w:w="15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数学建模∕实验</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6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081" w:type="dxa"/>
            <w:gridSpan w:val="17"/>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以上4个环节至少选修2学分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68"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6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4周+32</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37" w:type="dxa"/>
            <w:gridSpan w:val="4"/>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合计</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41</w:t>
            </w:r>
          </w:p>
        </w:tc>
        <w:tc>
          <w:tcPr>
            <w:tcW w:w="62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35周+</w:t>
            </w:r>
            <w:r>
              <w:rPr>
                <w:rFonts w:hint="default"/>
                <w:color w:val="000000" w:themeColor="text1"/>
                <w:lang w:val="en-US" w:eastAsia="zh-CN"/>
                <w14:textFill>
                  <w14:solidFill>
                    <w14:schemeClr w14:val="tx1"/>
                  </w14:solidFill>
                </w14:textFill>
              </w:rPr>
              <w:t>150</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210" w:type="dxa"/>
            <w:gridSpan w:val="5"/>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总计</w:t>
            </w:r>
          </w:p>
        </w:tc>
        <w:tc>
          <w:tcPr>
            <w:tcW w:w="4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179</w:t>
            </w:r>
          </w:p>
        </w:tc>
        <w:tc>
          <w:tcPr>
            <w:tcW w:w="62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r>
              <w:rPr>
                <w:rFonts w:hint="default"/>
                <w:color w:val="000000" w:themeColor="text1"/>
                <w:lang w:val="en-US" w:eastAsia="zh-CN"/>
                <w14:textFill>
                  <w14:solidFill>
                    <w14:schemeClr w14:val="tx1"/>
                  </w14:solidFill>
                </w14:textFill>
              </w:rPr>
              <w:t>342</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+35周</w:t>
            </w:r>
          </w:p>
        </w:tc>
        <w:tc>
          <w:tcPr>
            <w:tcW w:w="3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1668</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104</w:t>
            </w:r>
          </w:p>
        </w:tc>
        <w:tc>
          <w:tcPr>
            <w:tcW w:w="2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194</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128</w:t>
            </w:r>
          </w:p>
        </w:tc>
        <w:tc>
          <w:tcPr>
            <w:tcW w:w="34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24</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26</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18.5</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21.5</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13</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9</w:t>
            </w:r>
          </w:p>
        </w:tc>
        <w:tc>
          <w:tcPr>
            <w:tcW w:w="8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bl>
    <w:p>
      <w:pPr>
        <w:spacing w:after="156" w:afterLines="50"/>
        <w:outlineLvl w:val="0"/>
        <w:rPr>
          <w:rFonts w:hint="default" w:ascii="Times New Roman" w:hAnsi="Times New Roman" w:cs="Times New Roman"/>
          <w:color w:val="000000" w:themeColor="text1"/>
          <w:sz w:val="24"/>
          <w:highlight w:val="none"/>
          <w14:textFill>
            <w14:solidFill>
              <w14:schemeClr w14:val="tx1"/>
            </w14:solidFill>
          </w14:textFill>
        </w:rPr>
        <w:sectPr>
          <w:pgSz w:w="11906" w:h="16838"/>
          <w:pgMar w:top="1587" w:right="1417" w:bottom="1417" w:left="1417" w:header="851" w:footer="992" w:gutter="0"/>
          <w:pgNumType w:fmt="decimal"/>
          <w:cols w:space="0" w:num="1"/>
          <w:rtlGutter w:val="0"/>
          <w:docGrid w:linePitch="312" w:charSpace="0"/>
        </w:sectPr>
      </w:pP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专业代码：081404T  </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 xml:space="preserve">     专业名称：地下水科学与工程</w:t>
      </w:r>
    </w:p>
    <w:tbl>
      <w:tblPr>
        <w:tblStyle w:val="18"/>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340"/>
        <w:gridCol w:w="2226"/>
        <w:gridCol w:w="1490"/>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blHeader/>
          <w:jc w:val="center"/>
        </w:trPr>
        <w:tc>
          <w:tcPr>
            <w:tcW w:w="1253"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p>
            <w:pPr>
              <w:spacing w:line="38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第二课堂</w:t>
            </w:r>
          </w:p>
        </w:tc>
        <w:tc>
          <w:tcPr>
            <w:tcW w:w="1340" w:type="dxa"/>
            <w:noWrap w:val="0"/>
            <w:tcMar>
              <w:left w:w="28" w:type="dxa"/>
              <w:right w:w="28" w:type="dxa"/>
            </w:tcMar>
            <w:vAlign w:val="center"/>
          </w:tcPr>
          <w:p>
            <w:pPr>
              <w:spacing w:line="38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模块</w:t>
            </w:r>
          </w:p>
        </w:tc>
        <w:tc>
          <w:tcPr>
            <w:tcW w:w="2226" w:type="dxa"/>
            <w:noWrap w:val="0"/>
            <w:tcMar>
              <w:left w:w="28" w:type="dxa"/>
              <w:right w:w="28" w:type="dxa"/>
            </w:tcMar>
            <w:vAlign w:val="center"/>
          </w:tcPr>
          <w:p>
            <w:pPr>
              <w:spacing w:line="38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内   容</w:t>
            </w:r>
          </w:p>
        </w:tc>
        <w:tc>
          <w:tcPr>
            <w:tcW w:w="1490" w:type="dxa"/>
            <w:noWrap w:val="0"/>
            <w:tcMar>
              <w:left w:w="28" w:type="dxa"/>
              <w:right w:w="28" w:type="dxa"/>
            </w:tcMar>
            <w:vAlign w:val="center"/>
          </w:tcPr>
          <w:p>
            <w:pPr>
              <w:spacing w:line="38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要求最低学分</w:t>
            </w:r>
          </w:p>
        </w:tc>
        <w:tc>
          <w:tcPr>
            <w:tcW w:w="2829" w:type="dxa"/>
            <w:noWrap w:val="0"/>
            <w:tcMar>
              <w:left w:w="28" w:type="dxa"/>
              <w:right w:w="28" w:type="dxa"/>
            </w:tcMar>
            <w:vAlign w:val="center"/>
          </w:tcPr>
          <w:p>
            <w:pPr>
              <w:spacing w:line="38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学期安排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blHeader/>
          <w:jc w:val="center"/>
        </w:trPr>
        <w:tc>
          <w:tcPr>
            <w:tcW w:w="125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40"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思想</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道德</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教育</w:t>
            </w:r>
          </w:p>
        </w:tc>
        <w:tc>
          <w:tcPr>
            <w:tcW w:w="222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价值观教育</w:t>
            </w:r>
          </w:p>
        </w:tc>
        <w:tc>
          <w:tcPr>
            <w:tcW w:w="1490"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2829"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第1-8学期</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分散进行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blHeader/>
          <w:jc w:val="center"/>
        </w:trPr>
        <w:tc>
          <w:tcPr>
            <w:tcW w:w="125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4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22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党团活动</w:t>
            </w:r>
          </w:p>
        </w:tc>
        <w:tc>
          <w:tcPr>
            <w:tcW w:w="149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82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blHeader/>
          <w:jc w:val="center"/>
        </w:trPr>
        <w:tc>
          <w:tcPr>
            <w:tcW w:w="125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4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22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志愿者</w:t>
            </w:r>
          </w:p>
        </w:tc>
        <w:tc>
          <w:tcPr>
            <w:tcW w:w="149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82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tblHeader/>
          <w:jc w:val="center"/>
        </w:trPr>
        <w:tc>
          <w:tcPr>
            <w:tcW w:w="125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40"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专业</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能力</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拓展</w:t>
            </w:r>
          </w:p>
        </w:tc>
        <w:tc>
          <w:tcPr>
            <w:tcW w:w="222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创新创业活动</w:t>
            </w:r>
          </w:p>
        </w:tc>
        <w:tc>
          <w:tcPr>
            <w:tcW w:w="1490"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≥4</w:t>
            </w:r>
          </w:p>
        </w:tc>
        <w:tc>
          <w:tcPr>
            <w:tcW w:w="282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tblHeader/>
          <w:jc w:val="center"/>
        </w:trPr>
        <w:tc>
          <w:tcPr>
            <w:tcW w:w="125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4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22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学科（科技）竞赛</w:t>
            </w:r>
          </w:p>
        </w:tc>
        <w:tc>
          <w:tcPr>
            <w:tcW w:w="149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82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blHeader/>
          <w:jc w:val="center"/>
        </w:trPr>
        <w:tc>
          <w:tcPr>
            <w:tcW w:w="125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4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226" w:type="dxa"/>
            <w:noWrap w:val="0"/>
            <w:tcMar>
              <w:left w:w="28" w:type="dxa"/>
              <w:right w:w="28" w:type="dxa"/>
            </w:tcMar>
            <w:vAlign w:val="center"/>
          </w:tcPr>
          <w:p>
            <w:pPr>
              <w:spacing w:line="26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学术成果</w:t>
            </w:r>
          </w:p>
          <w:p>
            <w:pPr>
              <w:spacing w:line="26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（专利、论文、获奖）</w:t>
            </w:r>
          </w:p>
        </w:tc>
        <w:tc>
          <w:tcPr>
            <w:tcW w:w="149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82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exact"/>
          <w:tblHeader/>
          <w:jc w:val="center"/>
        </w:trPr>
        <w:tc>
          <w:tcPr>
            <w:tcW w:w="125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4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22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专业能力证书</w:t>
            </w:r>
          </w:p>
        </w:tc>
        <w:tc>
          <w:tcPr>
            <w:tcW w:w="149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82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blHeader/>
          <w:jc w:val="center"/>
        </w:trPr>
        <w:tc>
          <w:tcPr>
            <w:tcW w:w="125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40"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体美</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教育</w:t>
            </w:r>
          </w:p>
        </w:tc>
        <w:tc>
          <w:tcPr>
            <w:tcW w:w="2226" w:type="dxa"/>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体育竞赛</w:t>
            </w:r>
          </w:p>
        </w:tc>
        <w:tc>
          <w:tcPr>
            <w:tcW w:w="1490"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282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exact"/>
          <w:tblHeader/>
          <w:jc w:val="center"/>
        </w:trPr>
        <w:tc>
          <w:tcPr>
            <w:tcW w:w="125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4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22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课外体育活动</w:t>
            </w:r>
          </w:p>
        </w:tc>
        <w:tc>
          <w:tcPr>
            <w:tcW w:w="149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82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blHeader/>
          <w:jc w:val="center"/>
        </w:trPr>
        <w:tc>
          <w:tcPr>
            <w:tcW w:w="125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4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226" w:type="dxa"/>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艺术展演活动</w:t>
            </w:r>
          </w:p>
        </w:tc>
        <w:tc>
          <w:tcPr>
            <w:tcW w:w="149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82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tblHeader/>
          <w:jc w:val="center"/>
        </w:trPr>
        <w:tc>
          <w:tcPr>
            <w:tcW w:w="125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4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22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校园文化活动</w:t>
            </w:r>
          </w:p>
        </w:tc>
        <w:tc>
          <w:tcPr>
            <w:tcW w:w="149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82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blHeader/>
          <w:jc w:val="center"/>
        </w:trPr>
        <w:tc>
          <w:tcPr>
            <w:tcW w:w="125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40"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劳动</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教育</w:t>
            </w:r>
          </w:p>
        </w:tc>
        <w:tc>
          <w:tcPr>
            <w:tcW w:w="222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专业服务</w:t>
            </w:r>
          </w:p>
        </w:tc>
        <w:tc>
          <w:tcPr>
            <w:tcW w:w="1490"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282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tblHeader/>
          <w:jc w:val="center"/>
        </w:trPr>
        <w:tc>
          <w:tcPr>
            <w:tcW w:w="125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4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22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创新创业活动</w:t>
            </w:r>
          </w:p>
        </w:tc>
        <w:tc>
          <w:tcPr>
            <w:tcW w:w="149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82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blHeader/>
          <w:jc w:val="center"/>
        </w:trPr>
        <w:tc>
          <w:tcPr>
            <w:tcW w:w="125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4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22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社会实践</w:t>
            </w:r>
          </w:p>
        </w:tc>
        <w:tc>
          <w:tcPr>
            <w:tcW w:w="149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82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blHeader/>
          <w:jc w:val="center"/>
        </w:trPr>
        <w:tc>
          <w:tcPr>
            <w:tcW w:w="125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4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22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勤工助学</w:t>
            </w:r>
          </w:p>
        </w:tc>
        <w:tc>
          <w:tcPr>
            <w:tcW w:w="149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82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tblHeader/>
          <w:jc w:val="center"/>
        </w:trPr>
        <w:tc>
          <w:tcPr>
            <w:tcW w:w="125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4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22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志愿者服务</w:t>
            </w:r>
          </w:p>
        </w:tc>
        <w:tc>
          <w:tcPr>
            <w:tcW w:w="149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82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bl>
    <w:p>
      <w:pPr>
        <w:pStyle w:val="26"/>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注：第二课堂10学分根据《西安科技大学本科生第二课堂教育学分考核认定办法》评定。</w:t>
      </w:r>
    </w:p>
    <w:p>
      <w:pPr>
        <w:pStyle w:val="3"/>
        <w:bidi w:val="0"/>
        <w:rPr>
          <w:rFonts w:hint="default" w:ascii="Times New Roman" w:hAnsi="Times New Roman" w:cs="Times New Roman"/>
          <w:b/>
          <w:color w:val="000000" w:themeColor="text1"/>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br w:type="page"/>
      </w:r>
      <w:bookmarkStart w:id="13" w:name="_Toc14270"/>
      <w:r>
        <w:rPr>
          <w:rFonts w:hint="default" w:ascii="Times New Roman" w:hAnsi="Times New Roman" w:eastAsia="黑体" w:cs="Times New Roman"/>
          <w:bCs/>
          <w:color w:val="000000" w:themeColor="text1"/>
          <w:sz w:val="21"/>
          <w:szCs w:val="21"/>
          <w:highlight w:val="none"/>
          <w14:textFill>
            <w14:solidFill>
              <w14:schemeClr w14:val="tx1"/>
            </w14:solidFill>
          </w14:textFill>
        </w:rPr>
        <w:t>十、教学进程表</w:t>
      </w:r>
      <w:bookmarkEnd w:id="13"/>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571"/>
        <w:gridCol w:w="341"/>
        <w:gridCol w:w="339"/>
        <w:gridCol w:w="340"/>
        <w:gridCol w:w="46"/>
        <w:gridCol w:w="294"/>
        <w:gridCol w:w="340"/>
        <w:gridCol w:w="340"/>
        <w:gridCol w:w="340"/>
        <w:gridCol w:w="340"/>
        <w:gridCol w:w="340"/>
        <w:gridCol w:w="340"/>
        <w:gridCol w:w="340"/>
        <w:gridCol w:w="340"/>
        <w:gridCol w:w="340"/>
        <w:gridCol w:w="340"/>
        <w:gridCol w:w="340"/>
        <w:gridCol w:w="315"/>
        <w:gridCol w:w="25"/>
        <w:gridCol w:w="324"/>
        <w:gridCol w:w="16"/>
        <w:gridCol w:w="340"/>
        <w:gridCol w:w="342"/>
        <w:gridCol w:w="345"/>
        <w:gridCol w:w="12"/>
        <w:gridCol w:w="328"/>
        <w:gridCol w:w="340"/>
        <w:gridCol w:w="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141"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bookmarkStart w:id="14" w:name="_Hlk47963326"/>
            <w:r>
              <w:rPr>
                <w:rFonts w:hint="default"/>
                <w:color w:val="000000" w:themeColor="text1"/>
                <w:sz w:val="18"/>
                <w:szCs w:val="18"/>
                <w14:textFill>
                  <w14:solidFill>
                    <w14:schemeClr w14:val="tx1"/>
                  </w14:solidFill>
                </w14:textFill>
              </w:rPr>
              <w:t>教学周</w:t>
            </w:r>
          </w:p>
        </w:tc>
        <w:tc>
          <w:tcPr>
            <w:tcW w:w="341"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2</w:t>
            </w:r>
          </w:p>
        </w:tc>
        <w:tc>
          <w:tcPr>
            <w:tcW w:w="34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3</w:t>
            </w:r>
          </w:p>
        </w:tc>
        <w:tc>
          <w:tcPr>
            <w:tcW w:w="340"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4</w:t>
            </w:r>
          </w:p>
        </w:tc>
        <w:tc>
          <w:tcPr>
            <w:tcW w:w="34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5</w:t>
            </w:r>
          </w:p>
        </w:tc>
        <w:tc>
          <w:tcPr>
            <w:tcW w:w="34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6</w:t>
            </w:r>
          </w:p>
        </w:tc>
        <w:tc>
          <w:tcPr>
            <w:tcW w:w="34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7</w:t>
            </w:r>
          </w:p>
        </w:tc>
        <w:tc>
          <w:tcPr>
            <w:tcW w:w="34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8</w:t>
            </w:r>
          </w:p>
        </w:tc>
        <w:tc>
          <w:tcPr>
            <w:tcW w:w="34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9</w:t>
            </w:r>
          </w:p>
        </w:tc>
        <w:tc>
          <w:tcPr>
            <w:tcW w:w="34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10</w:t>
            </w:r>
          </w:p>
        </w:tc>
        <w:tc>
          <w:tcPr>
            <w:tcW w:w="34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11</w:t>
            </w:r>
          </w:p>
        </w:tc>
        <w:tc>
          <w:tcPr>
            <w:tcW w:w="34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12</w:t>
            </w:r>
          </w:p>
        </w:tc>
        <w:tc>
          <w:tcPr>
            <w:tcW w:w="34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13</w:t>
            </w:r>
          </w:p>
        </w:tc>
        <w:tc>
          <w:tcPr>
            <w:tcW w:w="34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14</w:t>
            </w:r>
          </w:p>
        </w:tc>
        <w:tc>
          <w:tcPr>
            <w:tcW w:w="34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15</w:t>
            </w:r>
          </w:p>
        </w:tc>
        <w:tc>
          <w:tcPr>
            <w:tcW w:w="340"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16</w:t>
            </w:r>
          </w:p>
        </w:tc>
        <w:tc>
          <w:tcPr>
            <w:tcW w:w="340"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17</w:t>
            </w:r>
          </w:p>
        </w:tc>
        <w:tc>
          <w:tcPr>
            <w:tcW w:w="34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18</w:t>
            </w:r>
          </w:p>
        </w:tc>
        <w:tc>
          <w:tcPr>
            <w:tcW w:w="342"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19</w:t>
            </w:r>
          </w:p>
        </w:tc>
        <w:tc>
          <w:tcPr>
            <w:tcW w:w="345"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20</w:t>
            </w:r>
          </w:p>
        </w:tc>
        <w:tc>
          <w:tcPr>
            <w:tcW w:w="340"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21</w:t>
            </w:r>
          </w:p>
        </w:tc>
        <w:tc>
          <w:tcPr>
            <w:tcW w:w="34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22</w:t>
            </w:r>
          </w:p>
        </w:tc>
        <w:tc>
          <w:tcPr>
            <w:tcW w:w="321"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57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学年</w:t>
            </w:r>
          </w:p>
        </w:tc>
        <w:tc>
          <w:tcPr>
            <w:tcW w:w="571"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学期</w:t>
            </w:r>
          </w:p>
        </w:tc>
        <w:tc>
          <w:tcPr>
            <w:tcW w:w="7808" w:type="dxa"/>
            <w:gridSpan w:val="2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教学进程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jc w:val="center"/>
        </w:trPr>
        <w:tc>
          <w:tcPr>
            <w:tcW w:w="570" w:type="dxa"/>
            <w:vMerge w:val="restart"/>
            <w:tcBorders>
              <w:bottom w:val="single" w:color="auto" w:sz="4" w:space="0"/>
            </w:tcBorders>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一</w:t>
            </w:r>
          </w:p>
        </w:tc>
        <w:tc>
          <w:tcPr>
            <w:tcW w:w="571" w:type="dxa"/>
            <w:tcBorders>
              <w:bottom w:val="single" w:color="auto" w:sz="4" w:space="0"/>
            </w:tcBorders>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w:t>
            </w:r>
          </w:p>
        </w:tc>
        <w:tc>
          <w:tcPr>
            <w:tcW w:w="341" w:type="dxa"/>
            <w:tcBorders>
              <w:bottom w:val="single" w:color="auto" w:sz="4" w:space="0"/>
            </w:tcBorders>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入学教育</w:t>
            </w:r>
          </w:p>
        </w:tc>
        <w:tc>
          <w:tcPr>
            <w:tcW w:w="725" w:type="dxa"/>
            <w:gridSpan w:val="3"/>
            <w:tcBorders>
              <w:bottom w:val="single" w:color="auto" w:sz="4" w:space="0"/>
            </w:tcBorders>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军事</w:t>
            </w:r>
          </w:p>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训练</w:t>
            </w:r>
          </w:p>
        </w:tc>
        <w:tc>
          <w:tcPr>
            <w:tcW w:w="5396" w:type="dxa"/>
            <w:gridSpan w:val="18"/>
            <w:tcBorders>
              <w:bottom w:val="single" w:color="auto" w:sz="4" w:space="0"/>
            </w:tcBorders>
            <w:noWrap w:val="0"/>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45" w:type="dxa"/>
            <w:tcBorders>
              <w:bottom w:val="single" w:color="auto" w:sz="4" w:space="0"/>
            </w:tcBorders>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1001" w:type="dxa"/>
            <w:gridSpan w:val="4"/>
            <w:tcBorders>
              <w:bottom w:val="single" w:color="auto" w:sz="4" w:space="0"/>
            </w:tcBorders>
            <w:noWrap w:val="0"/>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jc w:val="center"/>
        </w:trPr>
        <w:tc>
          <w:tcPr>
            <w:tcW w:w="570" w:type="dxa"/>
            <w:vMerge w:val="continue"/>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p>
        </w:tc>
        <w:tc>
          <w:tcPr>
            <w:tcW w:w="571"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2</w:t>
            </w:r>
          </w:p>
        </w:tc>
        <w:tc>
          <w:tcPr>
            <w:tcW w:w="5415"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49"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1043"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工程测量实习1周，地质认识实习2周</w:t>
            </w:r>
          </w:p>
        </w:tc>
        <w:tc>
          <w:tcPr>
            <w:tcW w:w="1001"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1" w:hRule="atLeast"/>
          <w:jc w:val="center"/>
        </w:trPr>
        <w:tc>
          <w:tcPr>
            <w:tcW w:w="570" w:type="dxa"/>
            <w:vMerge w:val="restart"/>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二</w:t>
            </w:r>
          </w:p>
        </w:tc>
        <w:tc>
          <w:tcPr>
            <w:tcW w:w="571"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3</w:t>
            </w:r>
          </w:p>
        </w:tc>
        <w:tc>
          <w:tcPr>
            <w:tcW w:w="5415"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49"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1043"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计算机基本技能训练1周，数学建模1周，课程设计1周</w:t>
            </w:r>
          </w:p>
        </w:tc>
        <w:tc>
          <w:tcPr>
            <w:tcW w:w="1001" w:type="dxa"/>
            <w:gridSpan w:val="4"/>
            <w:noWrap w:val="0"/>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570" w:type="dxa"/>
            <w:vMerge w:val="continue"/>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p>
        </w:tc>
        <w:tc>
          <w:tcPr>
            <w:tcW w:w="571"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4</w:t>
            </w:r>
          </w:p>
        </w:tc>
        <w:tc>
          <w:tcPr>
            <w:tcW w:w="5415"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49"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1043"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地质填图实习4周</w:t>
            </w:r>
          </w:p>
        </w:tc>
        <w:tc>
          <w:tcPr>
            <w:tcW w:w="1001"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jc w:val="center"/>
        </w:trPr>
        <w:tc>
          <w:tcPr>
            <w:tcW w:w="570" w:type="dxa"/>
            <w:vMerge w:val="restart"/>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三</w:t>
            </w:r>
          </w:p>
        </w:tc>
        <w:tc>
          <w:tcPr>
            <w:tcW w:w="571"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5</w:t>
            </w:r>
          </w:p>
        </w:tc>
        <w:tc>
          <w:tcPr>
            <w:tcW w:w="5415"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49"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1043"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课程设计2周，英语翻译与写作训练1周</w:t>
            </w:r>
          </w:p>
        </w:tc>
        <w:tc>
          <w:tcPr>
            <w:tcW w:w="1001" w:type="dxa"/>
            <w:gridSpan w:val="4"/>
            <w:noWrap w:val="0"/>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1" w:hRule="atLeast"/>
          <w:jc w:val="center"/>
        </w:trPr>
        <w:tc>
          <w:tcPr>
            <w:tcW w:w="570" w:type="dxa"/>
            <w:vMerge w:val="continue"/>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p>
        </w:tc>
        <w:tc>
          <w:tcPr>
            <w:tcW w:w="571"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6</w:t>
            </w:r>
          </w:p>
        </w:tc>
        <w:tc>
          <w:tcPr>
            <w:tcW w:w="5415"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49"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1043"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生产实习2周+课程设计1周 或 课程设计3周</w:t>
            </w:r>
          </w:p>
        </w:tc>
        <w:tc>
          <w:tcPr>
            <w:tcW w:w="1001"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1" w:hRule="atLeast"/>
          <w:jc w:val="center"/>
        </w:trPr>
        <w:tc>
          <w:tcPr>
            <w:tcW w:w="570" w:type="dxa"/>
            <w:vMerge w:val="restart"/>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四</w:t>
            </w:r>
          </w:p>
        </w:tc>
        <w:tc>
          <w:tcPr>
            <w:tcW w:w="571"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7</w:t>
            </w:r>
          </w:p>
        </w:tc>
        <w:tc>
          <w:tcPr>
            <w:tcW w:w="5415"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49"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1043"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生产实习2周+课程设计1周 或 课程设计3周</w:t>
            </w:r>
          </w:p>
        </w:tc>
        <w:tc>
          <w:tcPr>
            <w:tcW w:w="1001" w:type="dxa"/>
            <w:gridSpan w:val="4"/>
            <w:noWrap w:val="0"/>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center"/>
        </w:trPr>
        <w:tc>
          <w:tcPr>
            <w:tcW w:w="570" w:type="dxa"/>
            <w:vMerge w:val="continue"/>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p>
        </w:tc>
        <w:tc>
          <w:tcPr>
            <w:tcW w:w="571"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8</w:t>
            </w:r>
          </w:p>
        </w:tc>
        <w:tc>
          <w:tcPr>
            <w:tcW w:w="5415"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lang w:eastAsia="zh-CN"/>
                <w14:textFill>
                  <w14:solidFill>
                    <w14:schemeClr w14:val="tx1"/>
                  </w14:solidFill>
                </w14:textFill>
              </w:rPr>
              <w:t>专业前沿讲座、</w:t>
            </w:r>
            <w:r>
              <w:rPr>
                <w:rFonts w:hint="default"/>
                <w:color w:val="000000" w:themeColor="text1"/>
                <w:sz w:val="18"/>
                <w:szCs w:val="18"/>
                <w14:textFill>
                  <w14:solidFill>
                    <w14:schemeClr w14:val="tx1"/>
                  </w14:solidFill>
                </w14:textFill>
              </w:rPr>
              <w:t>毕业实习、毕业设计（论文）</w:t>
            </w:r>
          </w:p>
        </w:tc>
        <w:tc>
          <w:tcPr>
            <w:tcW w:w="349"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毕业教育</w:t>
            </w:r>
          </w:p>
        </w:tc>
        <w:tc>
          <w:tcPr>
            <w:tcW w:w="1055" w:type="dxa"/>
            <w:gridSpan w:val="5"/>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毕业离校</w:t>
            </w:r>
          </w:p>
        </w:tc>
        <w:tc>
          <w:tcPr>
            <w:tcW w:w="989" w:type="dxa"/>
            <w:gridSpan w:val="3"/>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p>
        </w:tc>
      </w:tr>
      <w:bookmarkEnd w:id="14"/>
    </w:tbl>
    <w:p>
      <w:pPr>
        <w:rPr>
          <w:rFonts w:hint="default" w:ascii="Times New Roman" w:hAnsi="Times New Roman" w:cs="Times New Roman"/>
          <w:color w:val="000000" w:themeColor="text1"/>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sectPr>
          <w:footerReference r:id="rId5" w:type="default"/>
          <w:headerReference r:id="rId4" w:type="even"/>
          <w:pgSz w:w="11906" w:h="16838"/>
          <w:pgMar w:top="1587" w:right="1417" w:bottom="1417" w:left="1417" w:header="851" w:footer="992" w:gutter="0"/>
          <w:pgNumType w:fmt="decimal"/>
          <w:cols w:space="0" w:num="1"/>
          <w:rtlGutter w:val="0"/>
          <w:docGrid w:linePitch="312" w:charSpace="0"/>
        </w:sectPr>
      </w:pPr>
    </w:p>
    <w:p>
      <w:pPr>
        <w:pStyle w:val="3"/>
        <w:bidi w:val="0"/>
        <w:rPr>
          <w:rFonts w:hint="default"/>
          <w:color w:val="000000" w:themeColor="text1"/>
          <w14:textFill>
            <w14:solidFill>
              <w14:schemeClr w14:val="tx1"/>
            </w14:solidFill>
          </w14:textFill>
        </w:rPr>
      </w:pPr>
      <w:bookmarkStart w:id="15" w:name="_Toc17606"/>
      <w:r>
        <w:rPr>
          <w:rFonts w:hint="default"/>
          <w:color w:val="000000" w:themeColor="text1"/>
          <w14:textFill>
            <w14:solidFill>
              <w14:schemeClr w14:val="tx1"/>
            </w14:solidFill>
          </w14:textFill>
        </w:rPr>
        <w:t>十一、课程体系与毕业要求关系矩阵</w:t>
      </w: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3560963072" behindDoc="0" locked="0" layoutInCell="1" allowOverlap="1">
                <wp:simplePos x="0" y="0"/>
                <wp:positionH relativeFrom="column">
                  <wp:posOffset>8785225</wp:posOffset>
                </wp:positionH>
                <wp:positionV relativeFrom="paragraph">
                  <wp:posOffset>-40005</wp:posOffset>
                </wp:positionV>
                <wp:extent cx="391160" cy="5803265"/>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地下水科学与工程专业人才培养方案</w:t>
                            </w:r>
                          </w:p>
                          <w:p/>
                        </w:txbxContent>
                      </wps:txbx>
                      <wps:bodyPr vert="vert" upright="1"/>
                    </wps:wsp>
                  </a:graphicData>
                </a:graphic>
              </wp:anchor>
            </w:drawing>
          </mc:Choice>
          <mc:Fallback>
            <w:pict>
              <v:shape id="_x0000_s1026" o:spid="_x0000_s1026" o:spt="202" type="#_x0000_t202" style="position:absolute;left:0pt;margin-left:691.75pt;margin-top:-3.15pt;height:456.95pt;width:30.8pt;z-index:-734004224;mso-width-relative:page;mso-height-relative:page;" filled="f" stroked="f" coordsize="21600,21600" o:gfxdata="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Uu2BfYAAAADAEAAA8AAAAAAAAAAQAgAAAAIgAAAGRycy9kb3ducmV2LnhtbFBLAQIUABQAAAAI&#10;AIdO4kCcKr6RtAEAAFwDAAAOAAAAAAAAAAEAIAAAACcBAABkcnMvZTJvRG9jLnhtbFBLBQYAAAAA&#10;BgAGAFkBAABNBQ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地下水科学与工程专业人才培养方案</w:t>
                      </w:r>
                    </w:p>
                    <w:p/>
                  </w:txbxContent>
                </v:textbox>
              </v:shape>
            </w:pict>
          </mc:Fallback>
        </mc:AlternateContent>
      </w:r>
      <w:bookmarkEnd w:id="15"/>
    </w:p>
    <w:tbl>
      <w:tblPr>
        <w:tblStyle w:val="18"/>
        <w:tblW w:w="13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07"/>
        <w:gridCol w:w="245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2"/>
        <w:gridCol w:w="342"/>
        <w:gridCol w:w="342"/>
        <w:gridCol w:w="342"/>
        <w:gridCol w:w="342"/>
        <w:gridCol w:w="342"/>
        <w:gridCol w:w="342"/>
        <w:gridCol w:w="342"/>
        <w:gridCol w:w="342"/>
        <w:gridCol w:w="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tblHeader/>
          <w:jc w:val="center"/>
        </w:trPr>
        <w:tc>
          <w:tcPr>
            <w:tcW w:w="3058" w:type="dxa"/>
            <w:gridSpan w:val="2"/>
            <w:vMerge w:val="restart"/>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tc>
        <w:tc>
          <w:tcPr>
            <w:tcW w:w="10581" w:type="dxa"/>
            <w:gridSpan w:val="31"/>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tblHeader/>
          <w:jc w:val="center"/>
        </w:trPr>
        <w:tc>
          <w:tcPr>
            <w:tcW w:w="3058" w:type="dxa"/>
            <w:gridSpan w:val="2"/>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34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w:t>
            </w:r>
          </w:p>
        </w:tc>
        <w:tc>
          <w:tcPr>
            <w:tcW w:w="34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34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1-3</w:t>
            </w:r>
          </w:p>
        </w:tc>
        <w:tc>
          <w:tcPr>
            <w:tcW w:w="34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1-4</w:t>
            </w:r>
          </w:p>
        </w:tc>
        <w:tc>
          <w:tcPr>
            <w:tcW w:w="34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2-1</w:t>
            </w:r>
          </w:p>
        </w:tc>
        <w:tc>
          <w:tcPr>
            <w:tcW w:w="34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2-2</w:t>
            </w:r>
          </w:p>
        </w:tc>
        <w:tc>
          <w:tcPr>
            <w:tcW w:w="34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2-3</w:t>
            </w:r>
          </w:p>
        </w:tc>
        <w:tc>
          <w:tcPr>
            <w:tcW w:w="34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3-1</w:t>
            </w:r>
          </w:p>
        </w:tc>
        <w:tc>
          <w:tcPr>
            <w:tcW w:w="34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4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3-3</w:t>
            </w:r>
          </w:p>
        </w:tc>
        <w:tc>
          <w:tcPr>
            <w:tcW w:w="34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3-4</w:t>
            </w:r>
          </w:p>
        </w:tc>
        <w:tc>
          <w:tcPr>
            <w:tcW w:w="34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4-1</w:t>
            </w:r>
          </w:p>
        </w:tc>
        <w:tc>
          <w:tcPr>
            <w:tcW w:w="34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4-2</w:t>
            </w:r>
          </w:p>
        </w:tc>
        <w:tc>
          <w:tcPr>
            <w:tcW w:w="34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5-1</w:t>
            </w:r>
          </w:p>
        </w:tc>
        <w:tc>
          <w:tcPr>
            <w:tcW w:w="34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5-2</w:t>
            </w:r>
          </w:p>
        </w:tc>
        <w:tc>
          <w:tcPr>
            <w:tcW w:w="34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5-3</w:t>
            </w:r>
          </w:p>
        </w:tc>
        <w:tc>
          <w:tcPr>
            <w:tcW w:w="34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6-1</w:t>
            </w:r>
          </w:p>
        </w:tc>
        <w:tc>
          <w:tcPr>
            <w:tcW w:w="34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6-2</w:t>
            </w:r>
          </w:p>
        </w:tc>
        <w:tc>
          <w:tcPr>
            <w:tcW w:w="34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6-3</w:t>
            </w:r>
          </w:p>
        </w:tc>
        <w:tc>
          <w:tcPr>
            <w:tcW w:w="34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7-1</w:t>
            </w:r>
          </w:p>
        </w:tc>
        <w:tc>
          <w:tcPr>
            <w:tcW w:w="34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7-2</w:t>
            </w:r>
          </w:p>
        </w:tc>
        <w:tc>
          <w:tcPr>
            <w:tcW w:w="342"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8-1</w:t>
            </w:r>
          </w:p>
        </w:tc>
        <w:tc>
          <w:tcPr>
            <w:tcW w:w="342"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8-2</w:t>
            </w:r>
          </w:p>
        </w:tc>
        <w:tc>
          <w:tcPr>
            <w:tcW w:w="342"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9-1</w:t>
            </w:r>
          </w:p>
        </w:tc>
        <w:tc>
          <w:tcPr>
            <w:tcW w:w="342"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9-2</w:t>
            </w:r>
          </w:p>
        </w:tc>
        <w:tc>
          <w:tcPr>
            <w:tcW w:w="342"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10-1</w:t>
            </w:r>
          </w:p>
        </w:tc>
        <w:tc>
          <w:tcPr>
            <w:tcW w:w="342"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10-2</w:t>
            </w:r>
          </w:p>
        </w:tc>
        <w:tc>
          <w:tcPr>
            <w:tcW w:w="342"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11-1</w:t>
            </w:r>
          </w:p>
        </w:tc>
        <w:tc>
          <w:tcPr>
            <w:tcW w:w="342"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11-2</w:t>
            </w:r>
          </w:p>
        </w:tc>
        <w:tc>
          <w:tcPr>
            <w:tcW w:w="342"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12-1</w:t>
            </w:r>
          </w:p>
        </w:tc>
        <w:tc>
          <w:tcPr>
            <w:tcW w:w="342"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restart"/>
            <w:noWrap w:val="0"/>
            <w:textDirection w:val="tbRlV"/>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人文社会科学</w:t>
            </w: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马克思主义基本原理</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毛泽东思想和中国特色社会主义理论体系概论</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中国近现代史纲要</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思想道德修养与法律基础</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英语阅读</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英语听力</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大学生心理健康教育</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体育</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restart"/>
            <w:noWrap w:val="0"/>
            <w:textDirection w:val="tbRlV"/>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自然科学基础</w:t>
            </w: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高等数学A</w:t>
            </w: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大学物理A</w:t>
            </w: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概率论与数理统计B</w:t>
            </w: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信息技术与人工智能概论</w:t>
            </w: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工科化学</w:t>
            </w: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应急处置与应急管理概论</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线性代数</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计算机文化基础</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文献网络信息检索</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工程伦理</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地质建模程序设计</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环境保护概论</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restart"/>
            <w:noWrap w:val="0"/>
            <w:textDirection w:val="tbRlV"/>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创新创业</w:t>
            </w: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就业指导</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创新创业基础</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4"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创造性思维与创新方法</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restart"/>
            <w:noWrap w:val="0"/>
            <w:textDirection w:val="tbRlV"/>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工程基础</w:t>
            </w: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岩土力学</w:t>
            </w: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3560963072" behindDoc="0" locked="0" layoutInCell="1" allowOverlap="1">
                      <wp:simplePos x="0" y="0"/>
                      <wp:positionH relativeFrom="column">
                        <wp:posOffset>8320405</wp:posOffset>
                      </wp:positionH>
                      <wp:positionV relativeFrom="paragraph">
                        <wp:posOffset>-467995</wp:posOffset>
                      </wp:positionV>
                      <wp:extent cx="391160" cy="5803265"/>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地下水科学与工程专业人才培养方案</w:t>
                                  </w:r>
                                </w:p>
                                <w:p/>
                              </w:txbxContent>
                            </wps:txbx>
                            <wps:bodyPr vert="vert" upright="1"/>
                          </wps:wsp>
                        </a:graphicData>
                      </a:graphic>
                    </wp:anchor>
                  </w:drawing>
                </mc:Choice>
                <mc:Fallback>
                  <w:pict>
                    <v:shape id="_x0000_s1026" o:spid="_x0000_s1026" o:spt="202" type="#_x0000_t202" style="position:absolute;left:0pt;margin-left:655.15pt;margin-top:-36.85pt;height:456.95pt;width:30.8pt;z-index:-734004224;mso-width-relative:page;mso-height-relative:page;" filled="f" stroked="f" coordsize="21600,21600" o:gfxdata="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WTSfz2AAAAA0BAAAPAAAAAAAAAAEAIAAAACIAAABkcnMvZG93bnJldi54bWxQSwECFAAUAAAA&#10;CACHTuJAzE4kwrUBAABcAwAADgAAAAAAAAABACAAAAAnAQAAZHJzL2Uyb0RvYy54bWxQSwUGAAAA&#10;AAYABgBZAQAATgU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地下水科学与工程专业人才培养方案</w:t>
                            </w:r>
                          </w:p>
                          <w:p/>
                        </w:txbxContent>
                      </v:textbox>
                    </v:shape>
                  </w:pict>
                </mc:Fallback>
              </mc:AlternateConten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计算机地质制图</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画法几何与工程制图</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restart"/>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基础</w:t>
            </w:r>
          </w:p>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普通地质学</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岩石矿物学</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水文地球化学</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水力学</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构造地质学</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古生物地层学</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水文地质学基础</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水利工程概论</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地貌学与第四纪地质学</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水文学原理</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地下水科学与工程专业外语</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工程测量</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工程地质学概论</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信息技术与人工智能概论</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应急处置与应急管理概论</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环境保护与职业健康概论</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项目管理与经济分析概论</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网络信息检索</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restart"/>
            <w:shd w:val="clear" w:color="000000" w:fill="FFFFFF"/>
            <w:noWrap w:val="0"/>
            <w:vAlign w:val="center"/>
          </w:tcPr>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必修</w:t>
            </w: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必修</w:t>
            </w:r>
          </w:p>
        </w:tc>
        <w:tc>
          <w:tcPr>
            <w:tcW w:w="2451"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地下水动力学</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451"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专门水文地质学</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451"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水工环地球物理勘探</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2451"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矿井水害防治</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451"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专门水文地质学</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451"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地下水溶质运移</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451"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地下水污染控制与修复</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451"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地下水资源开发与保护</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451"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地下水数值模拟</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451"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专业前沿讲座（双语教学）</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restart"/>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选修</w:t>
            </w:r>
          </w:p>
        </w:tc>
        <w:tc>
          <w:tcPr>
            <w:tcW w:w="2451"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煤地质学</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451"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水环境监测与评价（双语）</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451"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地下水资源管理（双语）</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451"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遥感地质学</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451"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矿山生态环境修复</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3560963072" behindDoc="0" locked="0" layoutInCell="1" allowOverlap="1">
                      <wp:simplePos x="0" y="0"/>
                      <wp:positionH relativeFrom="column">
                        <wp:posOffset>2866390</wp:posOffset>
                      </wp:positionH>
                      <wp:positionV relativeFrom="paragraph">
                        <wp:posOffset>-2308225</wp:posOffset>
                      </wp:positionV>
                      <wp:extent cx="391160" cy="5803265"/>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地下水科学与工程专业人才培养方案</w:t>
                                  </w:r>
                                </w:p>
                                <w:p/>
                              </w:txbxContent>
                            </wps:txbx>
                            <wps:bodyPr vert="vert" upright="1"/>
                          </wps:wsp>
                        </a:graphicData>
                      </a:graphic>
                    </wp:anchor>
                  </w:drawing>
                </mc:Choice>
                <mc:Fallback>
                  <w:pict>
                    <v:shape id="_x0000_s1026" o:spid="_x0000_s1026" o:spt="202" type="#_x0000_t202" style="position:absolute;left:0pt;margin-left:225.7pt;margin-top:-181.75pt;height:456.95pt;width:30.8pt;z-index:-734004224;mso-width-relative:page;mso-height-relative:page;" filled="f" stroked="f" coordsize="21600,21600" o:gfxdata="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Aee3/YAAAADAEAAA8AAAAAAAAAAQAgAAAAIgAAAGRycy9kb3ducmV2LnhtbFBLAQIUABQAAAAI&#10;AIdO4kB+XdJStAEAAFwDAAAOAAAAAAAAAAEAIAAAACcBAABkcnMvZTJvRG9jLnhtbFBLBQYAAAAA&#10;BgAGAFkBAABNBQ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地下水科学与工程专业人才培养方案</w:t>
                            </w:r>
                          </w:p>
                          <w:p/>
                        </w:txbxContent>
                      </v:textbox>
                    </v:shape>
                  </w:pict>
                </mc:Fallback>
              </mc:AlternateConten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451"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地学信息技术</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451"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钻探工程</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451"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生态水文地质学</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451"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水文地质与工程地质勘查</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451"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矿井物探</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restart"/>
            <w:noWrap w:val="0"/>
            <w:vAlign w:val="center"/>
          </w:tcPr>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业</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集</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中</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践</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业</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集</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中</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践</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物理实验</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5"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入学教育</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军训</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军事理论</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思政课实践活动</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形势与政策教育</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毕业教育</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工程测量实习</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地质认识实习</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构造地质课程设计</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水文地质填图实习</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生产实习</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毕业实习</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毕业设计、论文</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专门水文地质学课程设计</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shd w:val="clear" w:color="000000" w:fill="FFFFFF"/>
            <w:noWrap w:val="0"/>
            <w:textDirection w:val="tbRlV"/>
            <w:vAlign w:val="center"/>
          </w:tcPr>
          <w:p>
            <w:pPr>
              <w:pStyle w:val="27"/>
              <w:bidi w:val="0"/>
              <w:rPr>
                <w:rFonts w:hint="default"/>
                <w:color w:val="000000" w:themeColor="text1"/>
                <w14:textFill>
                  <w14:solidFill>
                    <w14:schemeClr w14:val="tx1"/>
                  </w14:solidFill>
                </w14:textFill>
              </w:rPr>
            </w:pPr>
          </w:p>
        </w:tc>
        <w:tc>
          <w:tcPr>
            <w:tcW w:w="2451"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水文地质读图课程设计</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451"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矿井防治水课程设计</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451"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抽（注）水试验课程设计</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2451"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地下水资源开发与保护课程设计</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restart"/>
            <w:noWrap w:val="0"/>
            <w:textDirection w:val="tbRlV"/>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 修</w:t>
            </w: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英语翻译与写作训练</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计算机基本技能训练</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607" w:type="dxa"/>
            <w:vMerge w:val="continue"/>
            <w:noWrap w:val="0"/>
            <w:vAlign w:val="center"/>
          </w:tcPr>
          <w:p>
            <w:pPr>
              <w:pStyle w:val="27"/>
              <w:bidi w:val="0"/>
              <w:rPr>
                <w:rFonts w:hint="default"/>
                <w:color w:val="000000" w:themeColor="text1"/>
                <w14:textFill>
                  <w14:solidFill>
                    <w14:schemeClr w14:val="tx1"/>
                  </w14:solidFill>
                </w14:textFill>
              </w:rPr>
            </w:pPr>
          </w:p>
        </w:tc>
        <w:tc>
          <w:tcPr>
            <w:tcW w:w="245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数学建模/实验</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1"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c>
          <w:tcPr>
            <w:tcW w:w="342" w:type="dxa"/>
            <w:noWrap w:val="0"/>
            <w:vAlign w:val="center"/>
          </w:tcPr>
          <w:p>
            <w:pPr>
              <w:pStyle w:val="27"/>
              <w:bidi w:val="0"/>
              <w:rPr>
                <w:rFonts w:hint="default"/>
                <w:color w:val="000000" w:themeColor="text1"/>
                <w14:textFill>
                  <w14:solidFill>
                    <w14:schemeClr w14:val="tx1"/>
                  </w14:solidFill>
                </w14:textFill>
              </w:rPr>
            </w:pPr>
          </w:p>
        </w:tc>
      </w:tr>
    </w:tbl>
    <w:p>
      <w:pPr>
        <w:pStyle w:val="26"/>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注：表中教学环节：课程、实践环节等，根据课程对各项毕业要求的支撑强度分别用“H（高）、M（中）、L（弱）”表示，支撑强度的含义是：该课程覆盖毕业要求指标点的多寡，H至少覆盖80%，M至少覆盖50%，L至少覆盖30%。</w:t>
      </w:r>
    </w:p>
    <w:p>
      <w:pPr>
        <w:pStyle w:val="26"/>
        <w:bidi w:val="0"/>
        <w:rPr>
          <w:rFonts w:hint="default"/>
          <w:color w:val="000000" w:themeColor="text1"/>
          <w14:textFill>
            <w14:solidFill>
              <w14:schemeClr w14:val="tx1"/>
            </w14:solidFill>
          </w14:textFill>
        </w:rPr>
        <w:sectPr>
          <w:headerReference r:id="rId6" w:type="default"/>
          <w:pgSz w:w="16838" w:h="11906" w:orient="landscape"/>
          <w:pgMar w:top="1417" w:right="1587" w:bottom="1417" w:left="1417" w:header="851" w:footer="992" w:gutter="0"/>
          <w:pgNumType w:fmt="decimal"/>
          <w:cols w:space="0" w:num="1"/>
          <w:rtlGutter w:val="0"/>
          <w:docGrid w:linePitch="312" w:charSpace="0"/>
        </w:sectPr>
      </w:pP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3560963072" behindDoc="0" locked="0" layoutInCell="1" allowOverlap="1">
                <wp:simplePos x="0" y="0"/>
                <wp:positionH relativeFrom="column">
                  <wp:posOffset>8785225</wp:posOffset>
                </wp:positionH>
                <wp:positionV relativeFrom="paragraph">
                  <wp:posOffset>-3161665</wp:posOffset>
                </wp:positionV>
                <wp:extent cx="391160" cy="5803265"/>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地下水科学与工程专业人才培养方案</w:t>
                            </w:r>
                          </w:p>
                          <w:p/>
                        </w:txbxContent>
                      </wps:txbx>
                      <wps:bodyPr vert="vert" upright="1"/>
                    </wps:wsp>
                  </a:graphicData>
                </a:graphic>
              </wp:anchor>
            </w:drawing>
          </mc:Choice>
          <mc:Fallback>
            <w:pict>
              <v:shape id="_x0000_s1026" o:spid="_x0000_s1026" o:spt="202" type="#_x0000_t202" style="position:absolute;left:0pt;margin-left:691.75pt;margin-top:-248.95pt;height:456.95pt;width:30.8pt;z-index:-734004224;mso-width-relative:page;mso-height-relative:page;" filled="f" stroked="f" coordsize="21600,21600" o:gfxdata="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FiVt/aAAAADgEAAA8AAAAAAAAAAQAgAAAAIgAAAGRycy9kb3ducmV2LnhtbFBLAQIUABQA&#10;AAAIAIdO4kAuOUgBtQEAAFwDAAAOAAAAAAAAAAEAIAAAACkBAABkcnMvZTJvRG9jLnhtbFBLBQYA&#10;AAAABgAGAFkBAABQBQ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地下水科学与工程专业人才培养方案</w:t>
                      </w:r>
                    </w:p>
                    <w:p/>
                  </w:txbxContent>
                </v:textbox>
              </v:shape>
            </w:pict>
          </mc:Fallback>
        </mc:AlternateContent>
      </w:r>
    </w:p>
    <w:p>
      <w:pPr>
        <w:pStyle w:val="3"/>
        <w:numPr>
          <w:ilvl w:val="0"/>
          <w:numId w:val="2"/>
        </w:numPr>
        <w:bidi w:val="0"/>
        <w:rPr>
          <w:rFonts w:hint="default"/>
          <w:color w:val="000000" w:themeColor="text1"/>
          <w14:textFill>
            <w14:solidFill>
              <w14:schemeClr w14:val="tx1"/>
            </w14:solidFill>
          </w14:textFill>
        </w:rPr>
      </w:pPr>
      <w:bookmarkStart w:id="16" w:name="_Toc26565"/>
      <w:r>
        <w:rPr>
          <w:rFonts w:hint="default"/>
          <w:color w:val="000000" w:themeColor="text1"/>
          <w14:textFill>
            <w14:solidFill>
              <w14:schemeClr w14:val="tx1"/>
            </w14:solidFill>
          </w14:textFill>
        </w:rPr>
        <w:t>核心课程简介</w:t>
      </w: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3560963072" behindDoc="0" locked="0" layoutInCell="1" allowOverlap="1">
                <wp:simplePos x="0" y="0"/>
                <wp:positionH relativeFrom="column">
                  <wp:posOffset>8785225</wp:posOffset>
                </wp:positionH>
                <wp:positionV relativeFrom="paragraph">
                  <wp:posOffset>-40005</wp:posOffset>
                </wp:positionV>
                <wp:extent cx="391160" cy="5803265"/>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地下水科学与工程专业人才培养方案</w:t>
                            </w:r>
                          </w:p>
                          <w:p/>
                        </w:txbxContent>
                      </wps:txbx>
                      <wps:bodyPr vert="vert" upright="1"/>
                    </wps:wsp>
                  </a:graphicData>
                </a:graphic>
              </wp:anchor>
            </w:drawing>
          </mc:Choice>
          <mc:Fallback>
            <w:pict>
              <v:shape id="_x0000_s1026" o:spid="_x0000_s1026" o:spt="202" type="#_x0000_t202" style="position:absolute;left:0pt;margin-left:691.75pt;margin-top:-3.15pt;height:456.95pt;width:30.8pt;z-index:-734004224;mso-width-relative:page;mso-height-relative:page;" filled="f" stroked="f" coordsize="21600,21600" o:gfxdata="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Uu2BfYAAAADAEAAA8AAAAAAAAAAQAgAAAAIgAAAGRycy9kb3ducmV2LnhtbFBLAQIUABQAAAAI&#10;AIdO4kCtvqrItAEAAFwDAAAOAAAAAAAAAAEAIAAAACcBAABkcnMvZTJvRG9jLnhtbFBLBQYAAAAA&#10;BgAGAFkBAABNBQ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地下水科学与工程专业人才培养方案</w:t>
                      </w:r>
                    </w:p>
                    <w:p/>
                  </w:txbxContent>
                </v:textbox>
              </v:shape>
            </w:pict>
          </mc:Fallback>
        </mc:AlternateContent>
      </w:r>
      <w:bookmarkEnd w:id="16"/>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147"/>
        <w:gridCol w:w="1753"/>
        <w:gridCol w:w="1205"/>
        <w:gridCol w:w="985"/>
        <w:gridCol w:w="1313"/>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blHeader/>
          <w:jc w:val="center"/>
        </w:trPr>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序号</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课程编号</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课程名称</w:t>
            </w:r>
          </w:p>
        </w:tc>
        <w:tc>
          <w:tcPr>
            <w:tcW w:w="12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课内学时</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学分</w:t>
            </w:r>
          </w:p>
        </w:tc>
        <w:tc>
          <w:tcPr>
            <w:tcW w:w="1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前导课程</w:t>
            </w:r>
          </w:p>
        </w:tc>
        <w:tc>
          <w:tcPr>
            <w:tcW w:w="66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A2091010</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普通地质学</w:t>
            </w:r>
          </w:p>
        </w:tc>
        <w:tc>
          <w:tcPr>
            <w:tcW w:w="12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58</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1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大学基础理论课程</w:t>
            </w:r>
          </w:p>
        </w:tc>
        <w:tc>
          <w:tcPr>
            <w:tcW w:w="66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jc w:val="left"/>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该课程是地质学的入门和基础课程。其基本内容是介绍有关地球和地壳的物质组成、结构和构造，动力地质作用原理，地球和地壳的演化发展历史。通过本课程学习，培养学生的地质思维能力，使学生初步了解地质学的轮廓，获得有关地质学的基础知识，掌握地质工作的基本方法，为学好后续专业课程打好基础。在该课程中，通过随堂讲解地质专家的相关爱国、敬业的事迹，培养学生投身国家地质工作、奉献地质事业的热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B2092020</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水文地质学基础</w:t>
            </w:r>
          </w:p>
        </w:tc>
        <w:tc>
          <w:tcPr>
            <w:tcW w:w="12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58</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1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地质学基础</w:t>
            </w:r>
          </w:p>
        </w:tc>
        <w:tc>
          <w:tcPr>
            <w:tcW w:w="66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jc w:val="left"/>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该课程主要学习水文地质学的基本概念、原理和研究方法知识，掌握水文地质调查技术和方法，培养认识水文地质现象的能力。在该课程中，通过随堂讲解水文地质专家的相关爱国、敬业的事迹，培养学生投身国家地质工作、奉献地质事业的热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bookmarkStart w:id="17" w:name="_Hlk48834567"/>
            <w:r>
              <w:rPr>
                <w:color w:val="000000" w:themeColor="text1"/>
                <w:sz w:val="18"/>
                <w:szCs w:val="18"/>
                <w14:textFill>
                  <w14:solidFill>
                    <w14:schemeClr w14:val="tx1"/>
                  </w14:solidFill>
                </w14:textFill>
              </w:rPr>
              <w:t>3</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A2091170</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矿物岩石学</w:t>
            </w:r>
          </w:p>
        </w:tc>
        <w:tc>
          <w:tcPr>
            <w:tcW w:w="12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64</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w:t>
            </w:r>
          </w:p>
        </w:tc>
        <w:tc>
          <w:tcPr>
            <w:tcW w:w="1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普通地质学</w:t>
            </w:r>
          </w:p>
        </w:tc>
        <w:tc>
          <w:tcPr>
            <w:tcW w:w="66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jc w:val="left"/>
              <w:textAlignment w:val="auto"/>
              <w:rPr>
                <w:color w:val="000000" w:themeColor="text1"/>
                <w:sz w:val="18"/>
                <w:szCs w:val="18"/>
                <w14:textFill>
                  <w14:solidFill>
                    <w14:schemeClr w14:val="tx1"/>
                  </w14:solidFill>
                </w14:textFill>
              </w:rPr>
            </w:pPr>
            <w:r>
              <w:rPr>
                <w:rFonts w:hint="eastAsia" w:ascii="Arial" w:hAnsi="Arial" w:cs="Arial"/>
                <w:color w:val="000000" w:themeColor="text1"/>
                <w:sz w:val="18"/>
                <w:szCs w:val="18"/>
                <w:shd w:val="clear" w:color="auto" w:fill="FFFFFF"/>
                <w14:textFill>
                  <w14:solidFill>
                    <w14:schemeClr w14:val="tx1"/>
                  </w14:solidFill>
                </w14:textFill>
              </w:rPr>
              <w:t>该门课程学习地球的结构、物质组成及其演化，通过本课程学习，熟悉相关区域地质调查及各类矿产资源找寻等，为后续专业课学习打好基础。针对矿物岩石学与普通地质学之间的相关性，探讨学习、工作、人生之间的联系，培养学生集体精神、团队协作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A2091040</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构造地质学</w:t>
            </w:r>
          </w:p>
        </w:tc>
        <w:tc>
          <w:tcPr>
            <w:tcW w:w="12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48</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普通地质学</w:t>
            </w:r>
          </w:p>
        </w:tc>
        <w:tc>
          <w:tcPr>
            <w:tcW w:w="66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jc w:val="left"/>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该课程主要学习地壳或岩石圈内中、小型尺度的地质构造的基本特征及分类，成因机制的基本理论及现代构造地质学的研究方法和思路；学习用极射赤平投影的方法测定面状构造、线状构造的产状；学习地质图的阅读、分析方法和步骤，学习地质、构造图件的绘制方法。通过课程学习，使学生掌握地质构造分析的方法和步骤，培养学生观察、描述、分析地质和综合解决地质问题的能力。结合构造对地质运动起到的重要作用，激发学生主动学生的潜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A2094030</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地下水动力学</w:t>
            </w:r>
          </w:p>
        </w:tc>
        <w:tc>
          <w:tcPr>
            <w:tcW w:w="12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54</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水力学</w:t>
            </w:r>
          </w:p>
        </w:tc>
        <w:tc>
          <w:tcPr>
            <w:tcW w:w="66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jc w:val="left"/>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该课程主要学习地下水在孔隙岩石、裂隙岩石和岩溶（喀斯特）岩石中运动规律，掌握地下水流基本状态和地下水中溶质运移过程的技术和方法，培养从数量上和质量上进行定量评价和合理开发利用地下水的能力。结合地下水动力学在水文地质学中的作用，激发学生主动学习，革新自我的积极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A2094020</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水文地球化学</w:t>
            </w:r>
          </w:p>
        </w:tc>
        <w:tc>
          <w:tcPr>
            <w:tcW w:w="12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工科化学</w:t>
            </w:r>
          </w:p>
        </w:tc>
        <w:tc>
          <w:tcPr>
            <w:tcW w:w="66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jc w:val="left"/>
              <w:textAlignment w:val="auto"/>
              <w:rPr>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3560963072" behindDoc="0" locked="0" layoutInCell="1" allowOverlap="1">
                      <wp:simplePos x="0" y="0"/>
                      <wp:positionH relativeFrom="column">
                        <wp:posOffset>4177030</wp:posOffset>
                      </wp:positionH>
                      <wp:positionV relativeFrom="paragraph">
                        <wp:posOffset>-353695</wp:posOffset>
                      </wp:positionV>
                      <wp:extent cx="391160" cy="5803265"/>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地下水科学与工程专业人才培养方案</w:t>
                                  </w:r>
                                </w:p>
                                <w:p>
                                  <w:pPr>
                                    <w:rPr>
                                      <w:rFonts w:hint="eastAsia"/>
                                      <w:lang w:val="en-US" w:eastAsia="zh-CN"/>
                                    </w:rPr>
                                  </w:pPr>
                                </w:p>
                              </w:txbxContent>
                            </wps:txbx>
                            <wps:bodyPr vert="vert" upright="1"/>
                          </wps:wsp>
                        </a:graphicData>
                      </a:graphic>
                    </wp:anchor>
                  </w:drawing>
                </mc:Choice>
                <mc:Fallback>
                  <w:pict>
                    <v:shape id="_x0000_s1026" o:spid="_x0000_s1026" o:spt="202" type="#_x0000_t202" style="position:absolute;left:0pt;margin-left:328.9pt;margin-top:-27.85pt;height:456.95pt;width:30.8pt;z-index:-734004224;mso-width-relative:page;mso-height-relative:page;" filled="f" stroked="f" coordsize="21600,21600" o:gfxdata="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gwudzYAAAACwEAAA8AAAAAAAAAAQAgAAAAIgAAAGRycy9kb3ducmV2LnhtbFBLAQIUABQAAAAI&#10;AIdO4kD92jCbtAEAAFwDAAAOAAAAAAAAAAEAIAAAACcBAABkcnMvZTJvRG9jLnhtbFBLBQYAAAAA&#10;BgAGAFkBAABNBQ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地下水科学与工程专业人才培养方案</w:t>
                            </w:r>
                          </w:p>
                          <w:p>
                            <w:pPr>
                              <w:rPr>
                                <w:rFonts w:hint="eastAsia"/>
                                <w:lang w:val="en-US" w:eastAsia="zh-CN"/>
                              </w:rPr>
                            </w:pPr>
                          </w:p>
                        </w:txbxContent>
                      </v:textbox>
                    </v:shape>
                  </w:pict>
                </mc:Fallback>
              </mc:AlternateContent>
            </w:r>
            <w:r>
              <w:rPr>
                <w:rFonts w:hint="eastAsia"/>
                <w:color w:val="000000" w:themeColor="text1"/>
                <w:sz w:val="18"/>
                <w:szCs w:val="18"/>
                <w14:textFill>
                  <w14:solidFill>
                    <w14:schemeClr w14:val="tx1"/>
                  </w14:solidFill>
                </w14:textFill>
              </w:rPr>
              <w:t>该课程主要学习水文地球化学的基本概念、原理和研究方法知识，掌握分析地下水中各种元素的技术和方法，培养运用水文地球化学知识分析水文地质规律的能力。</w:t>
            </w:r>
            <w:r>
              <w:rPr>
                <w:rFonts w:hint="eastAsia"/>
                <w:color w:val="000000" w:themeColor="text1"/>
                <w:spacing w:val="-6"/>
                <w:sz w:val="18"/>
                <w:szCs w:val="18"/>
                <w14:textFill>
                  <w14:solidFill>
                    <w14:schemeClr w14:val="tx1"/>
                  </w14:solidFill>
                </w14:textFill>
              </w:rPr>
              <w:t>结合水文地球化学在水文地质学中的作用，激发学生主动学习，革新自我的积极精神。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A2094060</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地下水数值模拟</w:t>
            </w:r>
          </w:p>
        </w:tc>
        <w:tc>
          <w:tcPr>
            <w:tcW w:w="12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地下水动力学</w:t>
            </w:r>
          </w:p>
        </w:tc>
        <w:tc>
          <w:tcPr>
            <w:tcW w:w="66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jc w:val="left"/>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该课程主要学习地下水数值模拟的概念、理论基础、原理、研究方法，掌握地下水</w:t>
            </w:r>
            <w:r>
              <w:rPr>
                <w:rFonts w:hint="eastAsia"/>
                <w:color w:val="000000" w:themeColor="text1"/>
                <w:spacing w:val="-6"/>
                <w:sz w:val="18"/>
                <w:szCs w:val="18"/>
                <w14:textFill>
                  <w14:solidFill>
                    <w14:schemeClr w14:val="tx1"/>
                  </w14:solidFill>
                </w14:textFill>
              </w:rPr>
              <w:t>流数值模拟软件的运用，培养运用地下水数值模拟知识分析地下水运动的能力。结合地下水数值模拟在水文地质学中的作用，激发学生主动学习，革新自我的积极精神。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A2094030　</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地下水污染控制与修复</w:t>
            </w:r>
          </w:p>
        </w:tc>
        <w:tc>
          <w:tcPr>
            <w:tcW w:w="12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highlight w:val="darkGreen"/>
                <w14:textFill>
                  <w14:solidFill>
                    <w14:schemeClr w14:val="tx1"/>
                  </w14:solidFill>
                </w14:textFill>
              </w:rPr>
            </w:pPr>
            <w:r>
              <w:rPr>
                <w:rFonts w:hint="eastAsia"/>
                <w:color w:val="000000" w:themeColor="text1"/>
                <w:sz w:val="18"/>
                <w:szCs w:val="18"/>
                <w14:textFill>
                  <w14:solidFill>
                    <w14:schemeClr w14:val="tx1"/>
                  </w14:solidFill>
                </w14:textFill>
              </w:rPr>
              <w:t>地下水溶质运移</w:t>
            </w:r>
          </w:p>
        </w:tc>
        <w:tc>
          <w:tcPr>
            <w:tcW w:w="66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jc w:val="left"/>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该课程主要学习地下水污染控制与修复的基本概念、原理和研究方法知识，掌握分析地下水污染防控与修复的技术和方法，培养运用地下水污染防控与修复的知识以保护水资源的能力。结合课程，培养学生保护地下水，保护地球的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A2094070</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矿井水害防治</w:t>
            </w:r>
          </w:p>
        </w:tc>
        <w:tc>
          <w:tcPr>
            <w:tcW w:w="12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38</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煤田地质学</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矿业学概论</w:t>
            </w:r>
          </w:p>
        </w:tc>
        <w:tc>
          <w:tcPr>
            <w:tcW w:w="66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jc w:val="left"/>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该课程主要学习矿井水的基本概念、原理和研究方法知识，掌握分析矿井水的技术和方法，培养运用矿井水害防治的能力。在该课程中，通过随堂讲解我国煤炭地质、水文地质的热点问题，培养学生投身煤炭地质与水文地质工作的热情。</w:t>
            </w:r>
          </w:p>
          <w:bookmarkEnd w:id="17"/>
        </w:tc>
      </w:tr>
    </w:tbl>
    <w:p>
      <w:pPr>
        <w:numPr>
          <w:ilvl w:val="0"/>
          <w:numId w:val="0"/>
        </w:numPr>
        <w:rPr>
          <w:rFonts w:hint="default"/>
          <w:color w:val="000000" w:themeColor="text1"/>
          <w14:textFill>
            <w14:solidFill>
              <w14:schemeClr w14:val="tx1"/>
            </w14:solidFill>
          </w14:textFill>
        </w:rPr>
      </w:pPr>
    </w:p>
    <w:p>
      <w:pPr>
        <w:pStyle w:val="3"/>
        <w:bidi w:val="0"/>
        <w:rPr>
          <w:rFonts w:hint="default"/>
          <w:color w:val="000000" w:themeColor="text1"/>
          <w14:textFill>
            <w14:solidFill>
              <w14:schemeClr w14:val="tx1"/>
            </w14:solidFill>
          </w14:textFill>
        </w:rPr>
      </w:pPr>
      <w:bookmarkStart w:id="18" w:name="_Toc24179"/>
      <w:r>
        <w:rPr>
          <w:rFonts w:hint="default"/>
          <w:color w:val="000000" w:themeColor="text1"/>
          <w14:textFill>
            <w14:solidFill>
              <w14:schemeClr w14:val="tx1"/>
            </w14:solidFill>
          </w14:textFill>
        </w:rPr>
        <w:t>十三、修订（制定）人、审核人信息</w:t>
      </w:r>
      <w:bookmarkEnd w:id="18"/>
    </w:p>
    <w:p>
      <w:pPr>
        <w:pStyle w:val="12"/>
        <w:bidi w:val="0"/>
        <w:rPr>
          <w:rFonts w:hint="default"/>
          <w:color w:val="000000" w:themeColor="text1"/>
          <w:lang w:eastAsia="zh-CN"/>
          <w14:textFill>
            <w14:solidFill>
              <w14:schemeClr w14:val="tx1"/>
            </w14:solidFill>
          </w14:textFill>
        </w:rPr>
      </w:pPr>
      <w:r>
        <w:rPr>
          <w:rFonts w:hint="default"/>
          <w:color w:val="000000" w:themeColor="text1"/>
          <w14:textFill>
            <w14:solidFill>
              <w14:schemeClr w14:val="tx1"/>
            </w14:solidFill>
          </w14:textFill>
        </w:rPr>
        <w:t>制定人：黄金廷</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高级工程师</w:t>
      </w:r>
    </w:p>
    <w:p>
      <w:pPr>
        <w:pStyle w:val="12"/>
        <w:bidi w:val="0"/>
        <w:ind w:firstLine="1260" w:firstLineChars="60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牛</w:t>
      </w:r>
      <w:r>
        <w:rPr>
          <w:rFonts w:hint="default"/>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超</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讲</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师</w:t>
      </w:r>
    </w:p>
    <w:p>
      <w:pPr>
        <w:pStyle w:val="12"/>
        <w:bidi w:val="0"/>
        <w:rPr>
          <w:rFonts w:hint="default"/>
          <w:color w:val="000000" w:themeColor="text1"/>
          <w:lang w:eastAsia="zh-CN"/>
          <w14:textFill>
            <w14:solidFill>
              <w14:schemeClr w14:val="tx1"/>
            </w14:solidFill>
          </w14:textFill>
        </w:rPr>
      </w:pPr>
      <w:r>
        <w:rPr>
          <w:rFonts w:hint="default"/>
          <w:color w:val="000000" w:themeColor="text1"/>
          <w14:textFill>
            <w14:solidFill>
              <w14:schemeClr w14:val="tx1"/>
            </w14:solidFill>
          </w14:textFill>
        </w:rPr>
        <w:t>审核人：代革联</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教</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授</w:t>
      </w:r>
    </w:p>
    <w:p>
      <w:pPr>
        <w:pStyle w:val="12"/>
        <w:bidi w:val="0"/>
        <w:ind w:firstLine="1260" w:firstLineChars="60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侯晨涛</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副教授</w:t>
      </w:r>
    </w:p>
    <w:p>
      <w:pPr>
        <w:pStyle w:val="3"/>
        <w:bidi w:val="0"/>
        <w:rPr>
          <w:rFonts w:hint="default"/>
          <w:color w:val="000000" w:themeColor="text1"/>
          <w14:textFill>
            <w14:solidFill>
              <w14:schemeClr w14:val="tx1"/>
            </w14:solidFill>
          </w14:textFill>
        </w:rPr>
      </w:pPr>
      <w:bookmarkStart w:id="19" w:name="_Toc24983"/>
      <w:r>
        <w:rPr>
          <w:rFonts w:hint="default"/>
          <w:color w:val="000000" w:themeColor="text1"/>
          <w14:textFill>
            <w14:solidFill>
              <w14:schemeClr w14:val="tx1"/>
            </w14:solidFill>
          </w14:textFill>
        </w:rPr>
        <w:t>十五、说明</w:t>
      </w:r>
      <w:bookmarkEnd w:id="19"/>
    </w:p>
    <w:p>
      <w:pPr>
        <w:pStyle w:val="12"/>
        <w:bidi w:val="0"/>
        <w:rPr>
          <w:rFonts w:hint="default"/>
          <w:color w:val="000000" w:themeColor="text1"/>
          <w14:textFill>
            <w14:solidFill>
              <w14:schemeClr w14:val="tx1"/>
            </w14:solidFill>
          </w14:textFill>
        </w:rPr>
        <w:sectPr>
          <w:headerReference r:id="rId7" w:type="default"/>
          <w:footerReference r:id="rId9" w:type="default"/>
          <w:headerReference r:id="rId8" w:type="even"/>
          <w:footerReference r:id="rId10" w:type="even"/>
          <w:pgSz w:w="16838" w:h="11906" w:orient="landscape"/>
          <w:pgMar w:top="1417" w:right="1587" w:bottom="1417" w:left="1417" w:header="851" w:footer="992" w:gutter="0"/>
          <w:pgNumType w:fmt="decimal"/>
          <w:cols w:space="0" w:num="1"/>
          <w:rtlGutter w:val="0"/>
          <w:docGrid w:linePitch="312" w:charSpace="0"/>
        </w:sectPr>
      </w:pPr>
      <w:r>
        <w:rPr>
          <w:rFonts w:hint="default"/>
          <w:color w:val="000000" w:themeColor="text1"/>
          <w:lang w:val="en-US" w:eastAsia="zh-CN"/>
          <w14:textFill>
            <w14:solidFill>
              <w14:schemeClr w14:val="tx1"/>
            </w14:solidFill>
          </w14:textFill>
        </w:rPr>
        <w:t>无</w:t>
      </w:r>
      <w:r>
        <w:rPr>
          <w:rFonts w:hint="default"/>
          <w:color w:val="000000" w:themeColor="text1"/>
          <w14:textFill>
            <w14:solidFill>
              <w14:schemeClr w14:val="tx1"/>
            </w14:solidFill>
          </w14:textFill>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小标宋">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sz w:val="28"/>
      </w:rPr>
    </w:pPr>
    <w:r>
      <w:rPr>
        <w:sz w:val="28"/>
      </w:rPr>
      <w:fldChar w:fldCharType="begin"/>
    </w:r>
    <w:r>
      <w:rPr>
        <w:sz w:val="28"/>
      </w:rPr>
      <w:instrText xml:space="preserve">PAGE   \* MERGEFORMAT</w:instrText>
    </w:r>
    <w:r>
      <w:rPr>
        <w:sz w:val="28"/>
      </w:rPr>
      <w:fldChar w:fldCharType="separate"/>
    </w:r>
    <w:r>
      <w:rPr>
        <w:sz w:val="28"/>
        <w:lang w:val="zh-CN"/>
      </w:rPr>
      <w:t>-</w:t>
    </w:r>
    <w:r>
      <w:rPr>
        <w:sz w:val="28"/>
      </w:rPr>
      <w:t xml:space="preserve"> 4 -</w:t>
    </w:r>
    <w:r>
      <w:rPr>
        <w:sz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eepNext w:val="0"/>
      <w:keepLines w:val="0"/>
      <w:pageBreakBefore w:val="0"/>
      <w:widowControl w:val="0"/>
      <w:pBdr>
        <w:bottom w:val="single" w:color="auto" w:sz="4" w:space="1"/>
      </w:pBdr>
      <w:kinsoku/>
      <w:wordWrap/>
      <w:overflowPunct/>
      <w:topLinePunct w:val="0"/>
      <w:autoSpaceDE/>
      <w:autoSpaceDN/>
      <w:bidi w:val="0"/>
      <w:adjustRightInd/>
      <w:snapToGrid w:val="0"/>
      <w:spacing w:line="360" w:lineRule="auto"/>
      <w:ind w:firstLine="180" w:firstLineChars="100"/>
      <w:jc w:val="left"/>
      <w:textAlignment w:val="auto"/>
      <w:rPr>
        <w:rFonts w:hint="default"/>
        <w:lang w:val="en-US" w:eastAsia="zh-CN"/>
      </w:rPr>
    </w:pPr>
  </w:p>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地下水科学与工程专业人才培养方案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rPr>
        <w:rFonts w:hint="eastAsia"/>
        <w:lang w:val="en-US"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left"/>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left"/>
      <w:rPr>
        <w:rFonts w:hint="eastAsia"/>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27B6D1"/>
    <w:multiLevelType w:val="multilevel"/>
    <w:tmpl w:val="8C27B6D1"/>
    <w:lvl w:ilvl="0" w:tentative="0">
      <w:start w:val="1"/>
      <w:numFmt w:val="chineseCounting"/>
      <w:suff w:val="nothing"/>
      <w:lvlText w:val="%1、"/>
      <w:lvlJc w:val="left"/>
      <w:pPr>
        <w:tabs>
          <w:tab w:val="left" w:pos="0"/>
        </w:tabs>
        <w:ind w:left="0" w:firstLine="0"/>
      </w:pPr>
      <w:rPr>
        <w:rFonts w:hint="eastAsia" w:eastAsia="黑体"/>
      </w:rPr>
    </w:lvl>
    <w:lvl w:ilvl="1" w:tentative="0">
      <w:start w:val="1"/>
      <w:numFmt w:val="chineseCounting"/>
      <w:suff w:val="nothing"/>
      <w:lvlText w:val="（%2）"/>
      <w:lvlJc w:val="left"/>
      <w:pPr>
        <w:tabs>
          <w:tab w:val="left" w:pos="0"/>
        </w:tabs>
        <w:ind w:left="0" w:firstLine="0"/>
      </w:pPr>
      <w:rPr>
        <w:rFonts w:hint="eastAsia" w:eastAsia="楷体_GB2312"/>
      </w:rPr>
    </w:lvl>
    <w:lvl w:ilvl="2" w:tentative="0">
      <w:start w:val="1"/>
      <w:numFmt w:val="decimal"/>
      <w:suff w:val="nothing"/>
      <w:lvlText w:val="%3．"/>
      <w:lvlJc w:val="left"/>
      <w:pPr>
        <w:tabs>
          <w:tab w:val="left" w:pos="0"/>
        </w:tabs>
        <w:ind w:left="0" w:firstLine="400"/>
      </w:pPr>
      <w:rPr>
        <w:rFonts w:hint="eastAsia" w:ascii="Times New Roman" w:hAnsi="Times New Roman"/>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1">
    <w:nsid w:val="0CD6A439"/>
    <w:multiLevelType w:val="singleLevel"/>
    <w:tmpl w:val="0CD6A439"/>
    <w:lvl w:ilvl="0" w:tentative="0">
      <w:start w:val="1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462F2"/>
    <w:rsid w:val="02A62130"/>
    <w:rsid w:val="03733179"/>
    <w:rsid w:val="046D3198"/>
    <w:rsid w:val="04733703"/>
    <w:rsid w:val="05925FDF"/>
    <w:rsid w:val="062E2D1B"/>
    <w:rsid w:val="074967E6"/>
    <w:rsid w:val="07CF276A"/>
    <w:rsid w:val="083355B1"/>
    <w:rsid w:val="0B8862A8"/>
    <w:rsid w:val="0BC54360"/>
    <w:rsid w:val="0BDA0235"/>
    <w:rsid w:val="0F017D01"/>
    <w:rsid w:val="0F3040D5"/>
    <w:rsid w:val="0FA36B15"/>
    <w:rsid w:val="11EE5A97"/>
    <w:rsid w:val="13944394"/>
    <w:rsid w:val="13B41578"/>
    <w:rsid w:val="1418211A"/>
    <w:rsid w:val="14A15C53"/>
    <w:rsid w:val="158F556D"/>
    <w:rsid w:val="16563A3D"/>
    <w:rsid w:val="166E0E59"/>
    <w:rsid w:val="179346C1"/>
    <w:rsid w:val="17D75146"/>
    <w:rsid w:val="193E41B7"/>
    <w:rsid w:val="1A277F26"/>
    <w:rsid w:val="1A551090"/>
    <w:rsid w:val="1B323640"/>
    <w:rsid w:val="1C2216D4"/>
    <w:rsid w:val="1C323349"/>
    <w:rsid w:val="1D3C656D"/>
    <w:rsid w:val="1F53118E"/>
    <w:rsid w:val="20492380"/>
    <w:rsid w:val="20791F7A"/>
    <w:rsid w:val="20C53941"/>
    <w:rsid w:val="213D6D76"/>
    <w:rsid w:val="2287465B"/>
    <w:rsid w:val="24943073"/>
    <w:rsid w:val="25A959F0"/>
    <w:rsid w:val="25F02F22"/>
    <w:rsid w:val="25F344E6"/>
    <w:rsid w:val="266F2D73"/>
    <w:rsid w:val="290D541E"/>
    <w:rsid w:val="298B4BF8"/>
    <w:rsid w:val="2A446075"/>
    <w:rsid w:val="2A7161D5"/>
    <w:rsid w:val="2AE32E46"/>
    <w:rsid w:val="2C434059"/>
    <w:rsid w:val="2D2D0D52"/>
    <w:rsid w:val="304F2260"/>
    <w:rsid w:val="30842677"/>
    <w:rsid w:val="30A940C1"/>
    <w:rsid w:val="310E3270"/>
    <w:rsid w:val="31BB3DF3"/>
    <w:rsid w:val="32091053"/>
    <w:rsid w:val="329B6C5A"/>
    <w:rsid w:val="32E00F63"/>
    <w:rsid w:val="32F7004C"/>
    <w:rsid w:val="33084EB0"/>
    <w:rsid w:val="33150BBC"/>
    <w:rsid w:val="3405537B"/>
    <w:rsid w:val="341D3028"/>
    <w:rsid w:val="34D87B33"/>
    <w:rsid w:val="34DA5E8A"/>
    <w:rsid w:val="35352537"/>
    <w:rsid w:val="360C229D"/>
    <w:rsid w:val="37343731"/>
    <w:rsid w:val="373A7186"/>
    <w:rsid w:val="38D15CFC"/>
    <w:rsid w:val="3A863F8A"/>
    <w:rsid w:val="3AB43AC4"/>
    <w:rsid w:val="3B0F4F21"/>
    <w:rsid w:val="3B5359A2"/>
    <w:rsid w:val="3BB97853"/>
    <w:rsid w:val="3CD0264F"/>
    <w:rsid w:val="3D2C5566"/>
    <w:rsid w:val="3DBA65AF"/>
    <w:rsid w:val="3FF71EE7"/>
    <w:rsid w:val="40410FCC"/>
    <w:rsid w:val="41B26A94"/>
    <w:rsid w:val="42D25253"/>
    <w:rsid w:val="437840FF"/>
    <w:rsid w:val="4425090C"/>
    <w:rsid w:val="4442190C"/>
    <w:rsid w:val="444E4DF7"/>
    <w:rsid w:val="447D000E"/>
    <w:rsid w:val="474B18A5"/>
    <w:rsid w:val="476D2F6E"/>
    <w:rsid w:val="49466F1E"/>
    <w:rsid w:val="49A84B5F"/>
    <w:rsid w:val="4A2C4195"/>
    <w:rsid w:val="4C5F55B5"/>
    <w:rsid w:val="4DC60391"/>
    <w:rsid w:val="4DF462F2"/>
    <w:rsid w:val="4E0E3CAF"/>
    <w:rsid w:val="4E982649"/>
    <w:rsid w:val="4EC001DF"/>
    <w:rsid w:val="4FAB4F5F"/>
    <w:rsid w:val="501A2A11"/>
    <w:rsid w:val="50C84B7C"/>
    <w:rsid w:val="52C67B35"/>
    <w:rsid w:val="52E66C1C"/>
    <w:rsid w:val="53547280"/>
    <w:rsid w:val="53F35B9C"/>
    <w:rsid w:val="55FA5203"/>
    <w:rsid w:val="56917399"/>
    <w:rsid w:val="56DF6C22"/>
    <w:rsid w:val="57741F3A"/>
    <w:rsid w:val="57B33DD9"/>
    <w:rsid w:val="58AA07A3"/>
    <w:rsid w:val="59902745"/>
    <w:rsid w:val="59F82541"/>
    <w:rsid w:val="5A335300"/>
    <w:rsid w:val="5A7F28B2"/>
    <w:rsid w:val="5BCE23E9"/>
    <w:rsid w:val="5C0D4806"/>
    <w:rsid w:val="5C2F0E0F"/>
    <w:rsid w:val="5CC16542"/>
    <w:rsid w:val="5D1A7EB4"/>
    <w:rsid w:val="5D2E4AC2"/>
    <w:rsid w:val="5DA86654"/>
    <w:rsid w:val="5E3B7927"/>
    <w:rsid w:val="5E4F460D"/>
    <w:rsid w:val="605E58B7"/>
    <w:rsid w:val="60E136FE"/>
    <w:rsid w:val="60FE207D"/>
    <w:rsid w:val="62587F9F"/>
    <w:rsid w:val="62CD49EF"/>
    <w:rsid w:val="63804143"/>
    <w:rsid w:val="640A2489"/>
    <w:rsid w:val="654600C7"/>
    <w:rsid w:val="67124EF3"/>
    <w:rsid w:val="67FB020F"/>
    <w:rsid w:val="68275F65"/>
    <w:rsid w:val="69525E11"/>
    <w:rsid w:val="6AB110DE"/>
    <w:rsid w:val="6AC42253"/>
    <w:rsid w:val="6E4E2ADF"/>
    <w:rsid w:val="6EFE4D39"/>
    <w:rsid w:val="702A7E76"/>
    <w:rsid w:val="70373B66"/>
    <w:rsid w:val="708C1DF7"/>
    <w:rsid w:val="70CE56C9"/>
    <w:rsid w:val="716E5F7F"/>
    <w:rsid w:val="71CA169A"/>
    <w:rsid w:val="726A5D82"/>
    <w:rsid w:val="72C45A7A"/>
    <w:rsid w:val="72CB7C7E"/>
    <w:rsid w:val="750502DE"/>
    <w:rsid w:val="75090303"/>
    <w:rsid w:val="76CC16FB"/>
    <w:rsid w:val="77135C57"/>
    <w:rsid w:val="77A246B7"/>
    <w:rsid w:val="77F71807"/>
    <w:rsid w:val="787413DE"/>
    <w:rsid w:val="7A9D03A8"/>
    <w:rsid w:val="7B861EDA"/>
    <w:rsid w:val="7BD91BDB"/>
    <w:rsid w:val="7C87367E"/>
    <w:rsid w:val="7E877395"/>
    <w:rsid w:val="7E9D2976"/>
    <w:rsid w:val="7EB72B8B"/>
    <w:rsid w:val="7F3C1C70"/>
    <w:rsid w:val="7FB42AAD"/>
    <w:rsid w:val="7FC61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before="100" w:beforeLines="100" w:after="100" w:afterLines="100" w:line="560" w:lineRule="exact"/>
      <w:jc w:val="center"/>
      <w:outlineLvl w:val="0"/>
    </w:pPr>
    <w:rPr>
      <w:rFonts w:ascii="Times New Roman" w:hAnsi="Times New Roman" w:eastAsia="小标宋" w:cs="Times New Roman"/>
      <w:bCs/>
      <w:kern w:val="44"/>
      <w:sz w:val="36"/>
      <w:szCs w:val="44"/>
    </w:rPr>
  </w:style>
  <w:style w:type="paragraph" w:styleId="3">
    <w:name w:val="heading 2"/>
    <w:basedOn w:val="1"/>
    <w:next w:val="1"/>
    <w:link w:val="21"/>
    <w:semiHidden/>
    <w:unhideWhenUsed/>
    <w:qFormat/>
    <w:uiPriority w:val="0"/>
    <w:pPr>
      <w:keepNext w:val="0"/>
      <w:keepLines w:val="0"/>
      <w:tabs>
        <w:tab w:val="left" w:pos="0"/>
      </w:tabs>
      <w:spacing w:line="400" w:lineRule="exact"/>
      <w:ind w:left="0" w:firstLine="880" w:firstLineChars="200"/>
      <w:jc w:val="left"/>
      <w:outlineLvl w:val="1"/>
    </w:pPr>
    <w:rPr>
      <w:rFonts w:ascii="黑体" w:hAnsi="黑体" w:eastAsia="黑体" w:cs="Times New Roman"/>
      <w:b/>
      <w:bCs/>
      <w:sz w:val="21"/>
      <w:szCs w:val="32"/>
    </w:rPr>
  </w:style>
  <w:style w:type="paragraph" w:styleId="4">
    <w:name w:val="heading 3"/>
    <w:basedOn w:val="1"/>
    <w:next w:val="1"/>
    <w:link w:val="22"/>
    <w:semiHidden/>
    <w:unhideWhenUsed/>
    <w:qFormat/>
    <w:uiPriority w:val="0"/>
    <w:pPr>
      <w:keepNext w:val="0"/>
      <w:keepLines w:val="0"/>
      <w:tabs>
        <w:tab w:val="left" w:pos="0"/>
      </w:tabs>
      <w:spacing w:line="400" w:lineRule="exact"/>
      <w:ind w:left="0" w:firstLine="880" w:firstLineChars="200"/>
      <w:jc w:val="left"/>
      <w:outlineLvl w:val="2"/>
    </w:pPr>
    <w:rPr>
      <w:rFonts w:ascii="黑体" w:hAnsi="黑体" w:eastAsia="楷体_GB2312" w:cs="Times New Roman"/>
      <w:b/>
      <w:bCs/>
      <w:sz w:val="21"/>
      <w:szCs w:val="32"/>
    </w:rPr>
  </w:style>
  <w:style w:type="paragraph" w:styleId="5">
    <w:name w:val="heading 4"/>
    <w:next w:val="1"/>
    <w:link w:val="24"/>
    <w:semiHidden/>
    <w:unhideWhenUsed/>
    <w:qFormat/>
    <w:uiPriority w:val="0"/>
    <w:pPr>
      <w:keepNext/>
      <w:keepLines/>
      <w:numPr>
        <w:ilvl w:val="3"/>
        <w:numId w:val="1"/>
      </w:numPr>
      <w:tabs>
        <w:tab w:val="left" w:pos="0"/>
      </w:tabs>
      <w:spacing w:beforeLines="0" w:beforeAutospacing="0" w:afterLines="0" w:afterAutospacing="0" w:line="240" w:lineRule="auto"/>
      <w:ind w:left="0" w:firstLine="402"/>
      <w:outlineLvl w:val="3"/>
    </w:pPr>
    <w:rPr>
      <w:rFonts w:ascii="黑体" w:hAnsi="黑体" w:eastAsia="宋体" w:cstheme="minorBidi"/>
      <w:sz w:val="21"/>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firstLineChars="0"/>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9">
    <w:name w:val="Default Paragraph Font"/>
    <w:semiHidden/>
    <w:unhideWhenUsed/>
    <w:qFormat/>
    <w:uiPriority w:val="1"/>
  </w:style>
  <w:style w:type="table" w:default="1" w:styleId="18">
    <w:name w:val="Normal Table"/>
    <w:semiHidden/>
    <w:qFormat/>
    <w:uiPriority w:val="0"/>
    <w:tblPr>
      <w:tblCellMar>
        <w:top w:w="0" w:type="dxa"/>
        <w:left w:w="108" w:type="dxa"/>
        <w:bottom w:w="0" w:type="dxa"/>
        <w:right w:w="108" w:type="dxa"/>
      </w:tblCellMar>
    </w:tblPr>
  </w:style>
  <w:style w:type="paragraph" w:styleId="11">
    <w:name w:val="Normal Indent"/>
    <w:basedOn w:val="1"/>
    <w:qFormat/>
    <w:uiPriority w:val="0"/>
    <w:pPr>
      <w:spacing w:line="560" w:lineRule="exact"/>
      <w:ind w:firstLine="420" w:firstLineChars="200"/>
      <w:jc w:val="left"/>
    </w:pPr>
    <w:rPr>
      <w:rFonts w:ascii="Times New Roman" w:hAnsi="Times New Roman" w:eastAsia="仿宋_GB2312"/>
      <w:sz w:val="32"/>
      <w:szCs w:val="24"/>
    </w:rPr>
  </w:style>
  <w:style w:type="paragraph" w:styleId="12">
    <w:name w:val="Body Text"/>
    <w:basedOn w:val="1"/>
    <w:next w:val="2"/>
    <w:link w:val="28"/>
    <w:qFormat/>
    <w:uiPriority w:val="0"/>
    <w:pPr>
      <w:widowControl/>
      <w:spacing w:line="400" w:lineRule="exact"/>
      <w:ind w:firstLine="880" w:firstLineChars="200"/>
      <w:textAlignment w:val="baseline"/>
    </w:pPr>
    <w:rPr>
      <w:rFonts w:ascii="Times New Roman" w:hAnsi="Times New Roman" w:eastAsia="宋体"/>
      <w:sz w:val="21"/>
    </w:rPr>
  </w:style>
  <w:style w:type="paragraph" w:styleId="13">
    <w:name w:val="Plain Text"/>
    <w:basedOn w:val="1"/>
    <w:qFormat/>
    <w:uiPriority w:val="0"/>
    <w:pPr>
      <w:ind w:firstLine="880" w:firstLineChars="200"/>
      <w:jc w:val="left"/>
    </w:pPr>
    <w:rPr>
      <w:rFonts w:ascii="宋体" w:hAnsi="宋体" w:eastAsia="仿宋_GB2312" w:cs="Courier New"/>
      <w:snapToGrid w:val="0"/>
      <w:sz w:val="30"/>
      <w:szCs w:val="21"/>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6">
    <w:name w:val="Body Text 2"/>
    <w:basedOn w:val="1"/>
    <w:qFormat/>
    <w:uiPriority w:val="0"/>
    <w:pPr>
      <w:spacing w:after="120" w:afterLines="0" w:afterAutospacing="0" w:line="480" w:lineRule="auto"/>
    </w:pPr>
  </w:style>
  <w:style w:type="paragraph" w:styleId="17">
    <w:name w:val="Title"/>
    <w:basedOn w:val="1"/>
    <w:qFormat/>
    <w:uiPriority w:val="0"/>
    <w:pPr>
      <w:spacing w:beforeLines="0" w:beforeAutospacing="0" w:afterLines="0" w:afterAutospacing="0"/>
      <w:ind w:firstLine="0" w:firstLineChars="0"/>
      <w:jc w:val="center"/>
      <w:outlineLvl w:val="0"/>
    </w:pPr>
    <w:rPr>
      <w:rFonts w:ascii="Arial" w:hAnsi="Arial" w:eastAsia="方正小标宋简体"/>
      <w:sz w:val="44"/>
    </w:rPr>
  </w:style>
  <w:style w:type="character" w:customStyle="1" w:styleId="20">
    <w:name w:val="标题 1 Char"/>
    <w:link w:val="2"/>
    <w:qFormat/>
    <w:uiPriority w:val="9"/>
    <w:rPr>
      <w:rFonts w:ascii="Times New Roman" w:hAnsi="Times New Roman" w:eastAsia="小标宋" w:cs="Times New Roman"/>
      <w:bCs/>
      <w:kern w:val="44"/>
      <w:sz w:val="36"/>
      <w:szCs w:val="44"/>
    </w:rPr>
  </w:style>
  <w:style w:type="character" w:customStyle="1" w:styleId="21">
    <w:name w:val="标题 2 Char"/>
    <w:basedOn w:val="19"/>
    <w:link w:val="3"/>
    <w:qFormat/>
    <w:uiPriority w:val="9"/>
    <w:rPr>
      <w:rFonts w:ascii="黑体" w:hAnsi="黑体" w:eastAsia="黑体" w:cs="Times New Roman"/>
      <w:bCs/>
      <w:kern w:val="2"/>
      <w:sz w:val="21"/>
      <w:szCs w:val="21"/>
      <w:lang w:val="en-US" w:bidi="ar-SA"/>
    </w:rPr>
  </w:style>
  <w:style w:type="character" w:customStyle="1" w:styleId="22">
    <w:name w:val="标题 3 Char"/>
    <w:link w:val="4"/>
    <w:qFormat/>
    <w:uiPriority w:val="9"/>
    <w:rPr>
      <w:rFonts w:ascii="黑体" w:hAnsi="黑体" w:eastAsia="楷体_GB2312" w:cs="Times New Roman"/>
      <w:b/>
      <w:bCs/>
      <w:kern w:val="2"/>
      <w:sz w:val="21"/>
      <w:szCs w:val="32"/>
      <w:lang w:val="en-US" w:bidi="ar-SA"/>
    </w:rPr>
  </w:style>
  <w:style w:type="paragraph" w:customStyle="1" w:styleId="23">
    <w:name w:val="表格1"/>
    <w:basedOn w:val="12"/>
    <w:qFormat/>
    <w:uiPriority w:val="0"/>
    <w:pPr>
      <w:spacing w:line="240" w:lineRule="auto"/>
      <w:ind w:firstLine="0" w:firstLineChars="0"/>
      <w:jc w:val="center"/>
    </w:pPr>
    <w:rPr>
      <w:rFonts w:eastAsia="宋体"/>
      <w:sz w:val="18"/>
    </w:rPr>
  </w:style>
  <w:style w:type="character" w:customStyle="1" w:styleId="24">
    <w:name w:val="标题 4 Char"/>
    <w:link w:val="5"/>
    <w:qFormat/>
    <w:uiPriority w:val="0"/>
    <w:rPr>
      <w:rFonts w:ascii="黑体" w:hAnsi="黑体" w:eastAsia="宋体"/>
      <w:sz w:val="21"/>
    </w:rPr>
  </w:style>
  <w:style w:type="paragraph" w:customStyle="1" w:styleId="25">
    <w:name w:val="表格"/>
    <w:basedOn w:val="1"/>
    <w:qFormat/>
    <w:uiPriority w:val="0"/>
    <w:pPr>
      <w:spacing w:line="400" w:lineRule="exact"/>
      <w:jc w:val="center"/>
    </w:pPr>
    <w:rPr>
      <w:rFonts w:asciiTheme="minorAscii" w:hAnsiTheme="minorAscii" w:eastAsiaTheme="minorEastAsia" w:cstheme="minorBidi"/>
      <w:kern w:val="2"/>
      <w:sz w:val="24"/>
      <w:szCs w:val="24"/>
      <w:lang w:val="en-US" w:bidi="ar-SA"/>
    </w:rPr>
  </w:style>
  <w:style w:type="paragraph" w:customStyle="1" w:styleId="26">
    <w:name w:val="表注"/>
    <w:basedOn w:val="12"/>
    <w:qFormat/>
    <w:uiPriority w:val="0"/>
    <w:pPr>
      <w:spacing w:line="360" w:lineRule="exact"/>
      <w:ind w:firstLine="0" w:firstLineChars="0"/>
      <w:jc w:val="left"/>
    </w:pPr>
    <w:rPr>
      <w:sz w:val="18"/>
    </w:rPr>
  </w:style>
  <w:style w:type="paragraph" w:customStyle="1" w:styleId="27">
    <w:name w:val="表"/>
    <w:basedOn w:val="1"/>
    <w:qFormat/>
    <w:uiPriority w:val="0"/>
    <w:pPr>
      <w:pBdr>
        <w:top w:val="none" w:color="auto" w:sz="0" w:space="1"/>
        <w:left w:val="none" w:color="auto" w:sz="0" w:space="4"/>
        <w:bottom w:val="none" w:color="auto" w:sz="0" w:space="1"/>
        <w:right w:val="none" w:color="auto" w:sz="0" w:space="4"/>
      </w:pBdr>
      <w:spacing w:line="200" w:lineRule="exact"/>
      <w:jc w:val="center"/>
    </w:pPr>
    <w:rPr>
      <w:rFonts w:ascii="Times New Roman" w:hAnsi="Times New Roman" w:eastAsia="宋体"/>
      <w:sz w:val="15"/>
    </w:rPr>
  </w:style>
  <w:style w:type="character" w:customStyle="1" w:styleId="28">
    <w:name w:val="正文文本 Char"/>
    <w:link w:val="12"/>
    <w:qFormat/>
    <w:uiPriority w:val="0"/>
    <w:rPr>
      <w:rFonts w:ascii="Times New Roman" w:hAnsi="Times New Roman"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2020-11-02T09:33:00Z</dcterms:created>
  <dc:creator>超彩广告小阮</dc:creator>
  <cp:lastModifiedBy>超彩广告小阮</cp:lastModifiedBy>
  <dcterms:modified xsi:type="dcterms:W3CDTF">2020-11-02T09:34:01Z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